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GINČŲ KOMISIJA PRIE SOCIALINĖS APSAUGOS IR DARBO MINISTERIJOS</w:t>
      </w:r>
    </w:p>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201</w:t>
      </w:r>
      <w:r w:rsidR="007A1B6C">
        <w:rPr>
          <w:rFonts w:ascii="Times New Roman" w:hAnsi="Times New Roman"/>
          <w:b/>
          <w:sz w:val="28"/>
          <w:szCs w:val="28"/>
          <w:lang w:val="lt-LT"/>
        </w:rPr>
        <w:t>3</w:t>
      </w:r>
      <w:r w:rsidRPr="000B5474">
        <w:rPr>
          <w:rFonts w:ascii="Times New Roman" w:hAnsi="Times New Roman"/>
          <w:b/>
          <w:sz w:val="28"/>
          <w:szCs w:val="28"/>
          <w:lang w:val="lt-LT"/>
        </w:rPr>
        <w:t xml:space="preserve"> METŲ </w:t>
      </w:r>
      <w:r>
        <w:rPr>
          <w:rFonts w:ascii="Times New Roman" w:hAnsi="Times New Roman"/>
          <w:b/>
          <w:sz w:val="28"/>
          <w:szCs w:val="28"/>
          <w:lang w:val="lt-LT"/>
        </w:rPr>
        <w:t xml:space="preserve">PIRMOJO </w:t>
      </w:r>
      <w:r w:rsidR="00863AC1">
        <w:rPr>
          <w:rFonts w:ascii="Times New Roman" w:hAnsi="Times New Roman"/>
          <w:b/>
          <w:sz w:val="28"/>
          <w:szCs w:val="28"/>
          <w:lang w:val="lt-LT"/>
        </w:rPr>
        <w:t>PUSME</w:t>
      </w:r>
      <w:r>
        <w:rPr>
          <w:rFonts w:ascii="Times New Roman" w:hAnsi="Times New Roman"/>
          <w:b/>
          <w:sz w:val="28"/>
          <w:szCs w:val="28"/>
          <w:lang w:val="lt-LT"/>
        </w:rPr>
        <w:t xml:space="preserve">ČIO </w:t>
      </w:r>
      <w:r w:rsidRPr="000B5474">
        <w:rPr>
          <w:rFonts w:ascii="Times New Roman" w:hAnsi="Times New Roman"/>
          <w:b/>
          <w:sz w:val="28"/>
          <w:szCs w:val="28"/>
          <w:lang w:val="lt-LT"/>
        </w:rPr>
        <w:t xml:space="preserve">VEIKLOS ATASKAITA </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I. INSTITUCIJOS MISIJA IR STRATEGINIAI TIKSLAI</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 xml:space="preserve">Programos pavadinimas: </w:t>
      </w:r>
      <w:r w:rsidRPr="000B5474">
        <w:rPr>
          <w:rFonts w:ascii="Times New Roman" w:hAnsi="Times New Roman"/>
          <w:bCs/>
          <w:sz w:val="24"/>
          <w:szCs w:val="24"/>
          <w:lang w:val="lt-LT"/>
        </w:rPr>
        <w:t>Neįgaliųjų socialinė integracija.</w:t>
      </w: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Programos tikslo pavadinimas</w:t>
      </w:r>
      <w:r w:rsidRPr="000B5474">
        <w:rPr>
          <w:rFonts w:ascii="Times New Roman" w:hAnsi="Times New Roman"/>
          <w:bCs/>
          <w:sz w:val="24"/>
          <w:szCs w:val="24"/>
          <w:lang w:val="lt-LT"/>
        </w:rPr>
        <w:t xml:space="preserve">: Plėtoti paslaugų neįgaliesiems </w:t>
      </w:r>
      <w:r>
        <w:rPr>
          <w:rFonts w:ascii="Times New Roman" w:hAnsi="Times New Roman"/>
          <w:bCs/>
          <w:sz w:val="24"/>
          <w:szCs w:val="24"/>
          <w:lang w:val="lt-LT"/>
        </w:rPr>
        <w:t>prieinamumą, didinti neįgaliųjų savarankiškumą ir skatinti jų įsidarbinimo galimybes.</w:t>
      </w:r>
    </w:p>
    <w:p w:rsidR="00C477E6" w:rsidRPr="000B5474" w:rsidRDefault="00C477E6" w:rsidP="00C477E6">
      <w:pPr>
        <w:pStyle w:val="Betarp"/>
        <w:spacing w:line="360" w:lineRule="auto"/>
        <w:jc w:val="both"/>
        <w:rPr>
          <w:rFonts w:ascii="Times New Roman" w:hAnsi="Times New Roman"/>
          <w:b/>
          <w:sz w:val="24"/>
          <w:szCs w:val="24"/>
          <w:lang w:val="lt-LT"/>
        </w:rPr>
      </w:pPr>
      <w:r w:rsidRPr="000B5474">
        <w:rPr>
          <w:rFonts w:ascii="Times New Roman" w:hAnsi="Times New Roman"/>
          <w:b/>
          <w:sz w:val="24"/>
          <w:szCs w:val="24"/>
          <w:lang w:val="lt-LT"/>
        </w:rPr>
        <w:t>Programos uždavinio pavadinimas</w:t>
      </w:r>
      <w:r w:rsidRPr="000B5474">
        <w:rPr>
          <w:rFonts w:ascii="Times New Roman" w:hAnsi="Times New Roman"/>
          <w:sz w:val="24"/>
          <w:szCs w:val="24"/>
          <w:lang w:val="lt-LT"/>
        </w:rPr>
        <w:t>: Sudaryti sąlygas Ginčų komisijos, Neįgalumo ir darbingumo nustatymo tarnybos bei Neįgaliųjų reikalų departamento veiklai.</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Misija:</w:t>
      </w:r>
      <w:r w:rsidRPr="000B5474">
        <w:rPr>
          <w:rFonts w:ascii="Times New Roman" w:hAnsi="Times New Roman"/>
          <w:sz w:val="24"/>
          <w:szCs w:val="24"/>
          <w:lang w:val="lt-LT"/>
        </w:rPr>
        <w:t xml:space="preserve"> Vadovaujantis Lietuvos Respublikos Konstitucija, Lietuvos Respublikos neįgaliųjų socialinės integracijos įstatymu, taip pat kitais įstatymais, Socialinės aps</w:t>
      </w:r>
      <w:r w:rsidR="00E85A96">
        <w:rPr>
          <w:rFonts w:ascii="Times New Roman" w:hAnsi="Times New Roman"/>
          <w:sz w:val="24"/>
          <w:szCs w:val="24"/>
          <w:lang w:val="lt-LT"/>
        </w:rPr>
        <w:t>a</w:t>
      </w:r>
      <w:r w:rsidRPr="000B5474">
        <w:rPr>
          <w:rFonts w:ascii="Times New Roman" w:hAnsi="Times New Roman"/>
          <w:sz w:val="24"/>
          <w:szCs w:val="24"/>
          <w:lang w:val="lt-LT"/>
        </w:rPr>
        <w:t xml:space="preserve">ugos ir darbo ministro bei sveikatos apsaugos ministro įsakymais ir kitais teisės aktais, kaip privalomo išankstinio ginčų nagrinėjimo ne teismo tvarka institucijai, nagrinėti ginčus tarp asmens, pensiją ar išmoką mokančios institucijos ir Neįgalumo ir darbingumo lygio nustatymo tarnybos. </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Strateginiai tikslai</w:t>
      </w:r>
      <w:r w:rsidRPr="000B5474">
        <w:rPr>
          <w:rFonts w:ascii="Times New Roman" w:hAnsi="Times New Roman"/>
          <w:sz w:val="24"/>
          <w:szCs w:val="24"/>
          <w:lang w:val="lt-LT"/>
        </w:rPr>
        <w:t>:</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Įgyvendinti neįgaliųjų socialinės integracijos politiką.</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Užtikrinti neįgaliųjų teisių gynybą, nagrinėjant ir spre</w:t>
      </w:r>
      <w:r>
        <w:rPr>
          <w:rFonts w:ascii="Times New Roman" w:hAnsi="Times New Roman"/>
          <w:sz w:val="24"/>
          <w:szCs w:val="24"/>
          <w:lang w:val="lt-LT"/>
        </w:rPr>
        <w:t xml:space="preserve">ndžiant ginčus dėl neįgalumo, </w:t>
      </w:r>
      <w:r w:rsidRPr="000B5474">
        <w:rPr>
          <w:rFonts w:ascii="Times New Roman" w:hAnsi="Times New Roman"/>
          <w:sz w:val="24"/>
          <w:szCs w:val="24"/>
          <w:lang w:val="lt-LT"/>
        </w:rPr>
        <w:t>darbingumo lygio</w:t>
      </w:r>
      <w:r>
        <w:rPr>
          <w:rFonts w:ascii="Times New Roman" w:hAnsi="Times New Roman"/>
          <w:sz w:val="24"/>
          <w:szCs w:val="24"/>
          <w:lang w:val="lt-LT"/>
        </w:rPr>
        <w:t>,</w:t>
      </w:r>
      <w:r w:rsidRPr="000B5474">
        <w:rPr>
          <w:rFonts w:ascii="Times New Roman" w:hAnsi="Times New Roman"/>
          <w:sz w:val="24"/>
          <w:szCs w:val="24"/>
          <w:lang w:val="lt-LT"/>
        </w:rPr>
        <w:t xml:space="preserve"> </w:t>
      </w:r>
      <w:r>
        <w:rPr>
          <w:rFonts w:ascii="Times New Roman" w:hAnsi="Times New Roman"/>
          <w:sz w:val="24"/>
          <w:szCs w:val="24"/>
          <w:lang w:val="lt-LT"/>
        </w:rPr>
        <w:t xml:space="preserve">specialiųjų poreikių </w:t>
      </w:r>
      <w:r w:rsidRPr="000B5474">
        <w:rPr>
          <w:rFonts w:ascii="Times New Roman" w:hAnsi="Times New Roman"/>
          <w:sz w:val="24"/>
          <w:szCs w:val="24"/>
          <w:lang w:val="lt-LT"/>
        </w:rPr>
        <w:t>nustatymo, darbo pobūdžio ir sąlygų</w:t>
      </w:r>
      <w:r>
        <w:rPr>
          <w:rFonts w:ascii="Times New Roman" w:hAnsi="Times New Roman"/>
          <w:sz w:val="24"/>
          <w:szCs w:val="24"/>
          <w:lang w:val="lt-LT"/>
        </w:rPr>
        <w:t>, profesinės reabilitacijos paslaugų poreikio nustatymo</w:t>
      </w:r>
      <w:r w:rsidRPr="000B5474">
        <w:rPr>
          <w:rFonts w:ascii="Times New Roman" w:hAnsi="Times New Roman"/>
          <w:sz w:val="24"/>
          <w:szCs w:val="24"/>
          <w:lang w:val="lt-LT"/>
        </w:rPr>
        <w:t xml:space="preserve">. </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Kaupti, sisteminti ir apibendrinti neįgaliųjų prašymuose keliamas problemas ir teik</w:t>
      </w:r>
      <w:r>
        <w:rPr>
          <w:rFonts w:ascii="Times New Roman" w:hAnsi="Times New Roman"/>
          <w:sz w:val="24"/>
          <w:szCs w:val="24"/>
          <w:lang w:val="lt-LT"/>
        </w:rPr>
        <w:t>iant</w:t>
      </w:r>
      <w:r w:rsidRPr="000B5474">
        <w:rPr>
          <w:rFonts w:ascii="Times New Roman" w:hAnsi="Times New Roman"/>
          <w:sz w:val="24"/>
          <w:szCs w:val="24"/>
          <w:lang w:val="lt-LT"/>
        </w:rPr>
        <w:t xml:space="preserve"> siūlymus Socialinės apsaugos ir darbo ministerijai, prisidėti prie neįgaliųjų socialinės integracijos politikos tobulinimo. </w:t>
      </w:r>
    </w:p>
    <w:p w:rsidR="00C477E6" w:rsidRPr="000B5474" w:rsidRDefault="00C477E6" w:rsidP="00C477E6">
      <w:pPr>
        <w:pStyle w:val="Betarp"/>
        <w:spacing w:line="360" w:lineRule="auto"/>
        <w:jc w:val="both"/>
        <w:rPr>
          <w:rFonts w:ascii="Times New Roman" w:hAnsi="Times New Roman"/>
          <w:sz w:val="24"/>
          <w:szCs w:val="24"/>
          <w:lang w:val="lt-LT"/>
        </w:rPr>
      </w:pPr>
    </w:p>
    <w:p w:rsidR="00C477E6" w:rsidRPr="000B5474" w:rsidRDefault="00C477E6" w:rsidP="00C477E6">
      <w:pPr>
        <w:pStyle w:val="Betarp"/>
        <w:spacing w:line="360" w:lineRule="auto"/>
        <w:jc w:val="both"/>
        <w:rPr>
          <w:rFonts w:ascii="Times New Roman" w:hAnsi="Times New Roman"/>
          <w:b/>
          <w:sz w:val="24"/>
          <w:szCs w:val="24"/>
          <w:lang w:val="lt-LT"/>
        </w:rPr>
      </w:pPr>
    </w:p>
    <w:p w:rsidR="00C477E6" w:rsidRPr="000B5474" w:rsidRDefault="00C477E6" w:rsidP="00C477E6">
      <w:pPr>
        <w:pStyle w:val="Betarp"/>
        <w:spacing w:line="360" w:lineRule="auto"/>
        <w:jc w:val="both"/>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lastRenderedPageBreak/>
        <w:t>II. PROGRAMŲ, NUMATYTŲ VEIKLOS</w:t>
      </w: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STRATEGINIAME PLANE, ĮGYVENDINIMAS</w:t>
      </w:r>
    </w:p>
    <w:p w:rsidR="00C477E6" w:rsidRPr="000B5474" w:rsidRDefault="00C477E6" w:rsidP="00C477E6">
      <w:pPr>
        <w:spacing w:line="360" w:lineRule="auto"/>
        <w:jc w:val="both"/>
      </w:pPr>
    </w:p>
    <w:p w:rsidR="00C477E6" w:rsidRPr="000B5474" w:rsidRDefault="00C477E6" w:rsidP="00C477E6">
      <w:pPr>
        <w:spacing w:line="360" w:lineRule="auto"/>
        <w:jc w:val="both"/>
      </w:pPr>
      <w:r w:rsidRPr="000B5474">
        <w:rPr>
          <w:b/>
        </w:rPr>
        <w:t>Programos uždaviniui įgyvendinti vykdytų priemonių aprašymas</w:t>
      </w:r>
      <w:r w:rsidRPr="000B5474">
        <w:t>: Ginčų tarp asmens, pensiją ar išmoką mokančios institucijos ir Neįgalumo ir darbingumo nustatymo tarnybos prie LR socialinės apsaugos ir darbo ministerijos (toliau – NDNT) ikiteisminis nagrinėjimas:</w:t>
      </w:r>
    </w:p>
    <w:p w:rsidR="00C477E6" w:rsidRPr="005B398D" w:rsidRDefault="00C477E6" w:rsidP="00C477E6">
      <w:pPr>
        <w:numPr>
          <w:ilvl w:val="0"/>
          <w:numId w:val="2"/>
        </w:numPr>
        <w:spacing w:line="360" w:lineRule="auto"/>
        <w:jc w:val="both"/>
      </w:pPr>
      <w:r w:rsidRPr="000B5474">
        <w:t>201</w:t>
      </w:r>
      <w:r w:rsidR="00A74896">
        <w:t>3</w:t>
      </w:r>
      <w:r>
        <w:t xml:space="preserve"> m. I-</w:t>
      </w:r>
      <w:proofErr w:type="spellStart"/>
      <w:r>
        <w:t>ąjį</w:t>
      </w:r>
      <w:proofErr w:type="spellEnd"/>
      <w:r>
        <w:t xml:space="preserve"> </w:t>
      </w:r>
      <w:r w:rsidR="00863AC1">
        <w:t>pusmet</w:t>
      </w:r>
      <w:r>
        <w:t xml:space="preserve">į </w:t>
      </w:r>
      <w:r w:rsidRPr="000B5474">
        <w:t>buvo planuota gau</w:t>
      </w:r>
      <w:r w:rsidRPr="005B398D">
        <w:t xml:space="preserve">ti </w:t>
      </w:r>
      <w:r w:rsidR="00863AC1">
        <w:t>276</w:t>
      </w:r>
      <w:r w:rsidRPr="005B398D">
        <w:t xml:space="preserve"> pareiškėjų skundus (prašymus).</w:t>
      </w:r>
    </w:p>
    <w:p w:rsidR="00A45A9B" w:rsidRDefault="00C477E6" w:rsidP="00A45A9B">
      <w:pPr>
        <w:pStyle w:val="Sraopastraipa"/>
        <w:numPr>
          <w:ilvl w:val="0"/>
          <w:numId w:val="2"/>
        </w:numPr>
        <w:spacing w:line="360" w:lineRule="auto"/>
        <w:jc w:val="both"/>
      </w:pPr>
      <w:r w:rsidRPr="005B398D">
        <w:t>Per 201</w:t>
      </w:r>
      <w:r w:rsidR="00A74896">
        <w:t>3</w:t>
      </w:r>
      <w:r w:rsidRPr="005B398D">
        <w:t xml:space="preserve"> m. I-</w:t>
      </w:r>
      <w:proofErr w:type="spellStart"/>
      <w:r w:rsidRPr="005B398D">
        <w:t>ąjį</w:t>
      </w:r>
      <w:proofErr w:type="spellEnd"/>
      <w:r w:rsidRPr="005B398D">
        <w:t xml:space="preserve"> </w:t>
      </w:r>
      <w:r w:rsidR="00863AC1">
        <w:t>pusmetį</w:t>
      </w:r>
      <w:r w:rsidRPr="005B398D">
        <w:t xml:space="preserve"> (t. y. ataskaitinį laikotarpį) buvo gauti </w:t>
      </w:r>
      <w:r w:rsidR="00DD1A0C" w:rsidRPr="00DD1A0C">
        <w:t>289</w:t>
      </w:r>
      <w:r w:rsidRPr="00DD1A0C">
        <w:t xml:space="preserve"> </w:t>
      </w:r>
      <w:r w:rsidRPr="005B398D">
        <w:t>skundai (prašymai</w:t>
      </w:r>
      <w:r w:rsidR="005B398D" w:rsidRPr="005B398D">
        <w:t>)</w:t>
      </w:r>
      <w:r w:rsidR="00863AC1" w:rsidRPr="002D2858">
        <w:t xml:space="preserve"> (pav. Nr. 1</w:t>
      </w:r>
      <w:r w:rsidR="00A45A9B">
        <w:t xml:space="preserve"> ir pav. Nr. 2</w:t>
      </w:r>
      <w:r w:rsidR="00863AC1" w:rsidRPr="002D2858">
        <w:t xml:space="preserve">). </w:t>
      </w:r>
    </w:p>
    <w:p w:rsidR="00A45A9B" w:rsidRPr="002D2858" w:rsidRDefault="00A45A9B" w:rsidP="00A45A9B">
      <w:pPr>
        <w:spacing w:line="360" w:lineRule="auto"/>
        <w:jc w:val="both"/>
      </w:pPr>
    </w:p>
    <w:p w:rsidR="00A45A9B" w:rsidRDefault="00DD1A0C" w:rsidP="00A45A9B">
      <w:pPr>
        <w:tabs>
          <w:tab w:val="left" w:pos="0"/>
        </w:tabs>
        <w:spacing w:line="360" w:lineRule="auto"/>
        <w:jc w:val="both"/>
        <w:rPr>
          <w:color w:val="FF0000"/>
        </w:rPr>
      </w:pPr>
      <w:r w:rsidRPr="00DD1A0C">
        <w:rPr>
          <w:noProof/>
          <w:color w:val="FF0000"/>
        </w:rPr>
        <w:drawing>
          <wp:inline distT="0" distB="0" distL="0" distR="0">
            <wp:extent cx="6317615" cy="4269395"/>
            <wp:effectExtent l="19050" t="0" r="26035" b="0"/>
            <wp:docPr id="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48DF" w:rsidRPr="00A45A9B" w:rsidRDefault="007A48DF" w:rsidP="00A45A9B">
      <w:pPr>
        <w:tabs>
          <w:tab w:val="left" w:pos="0"/>
        </w:tabs>
        <w:spacing w:line="360" w:lineRule="auto"/>
        <w:jc w:val="both"/>
        <w:rPr>
          <w:color w:val="FF0000"/>
        </w:rPr>
      </w:pPr>
      <w:r w:rsidRPr="007A48DF">
        <w:rPr>
          <w:noProof/>
          <w:color w:val="FF0000"/>
        </w:rPr>
        <w:lastRenderedPageBreak/>
        <w:drawing>
          <wp:inline distT="0" distB="0" distL="0" distR="0">
            <wp:extent cx="6317615" cy="3357104"/>
            <wp:effectExtent l="19050" t="0" r="26035" b="0"/>
            <wp:docPr id="3"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61A5" w:rsidRPr="002D2858" w:rsidRDefault="00E461A5" w:rsidP="00E461A5">
      <w:pPr>
        <w:spacing w:line="360" w:lineRule="auto"/>
        <w:jc w:val="both"/>
      </w:pPr>
    </w:p>
    <w:p w:rsidR="00C477E6" w:rsidRPr="00863AC1" w:rsidRDefault="007A48DF" w:rsidP="007A48DF">
      <w:pPr>
        <w:pStyle w:val="Sraopastraipa"/>
        <w:numPr>
          <w:ilvl w:val="0"/>
          <w:numId w:val="2"/>
        </w:numPr>
        <w:spacing w:line="360" w:lineRule="auto"/>
        <w:jc w:val="both"/>
      </w:pPr>
      <w:r w:rsidRPr="000B5474">
        <w:t>201</w:t>
      </w:r>
      <w:r>
        <w:t>3</w:t>
      </w:r>
      <w:r w:rsidRPr="000B5474">
        <w:t xml:space="preserve"> </w:t>
      </w:r>
      <w:r>
        <w:t>metų</w:t>
      </w:r>
      <w:r w:rsidR="006E7B78">
        <w:t xml:space="preserve"> I-</w:t>
      </w:r>
      <w:proofErr w:type="spellStart"/>
      <w:r w:rsidR="006E7B78">
        <w:t>ąjį</w:t>
      </w:r>
      <w:proofErr w:type="spellEnd"/>
      <w:r w:rsidR="006E7B78">
        <w:t xml:space="preserve"> </w:t>
      </w:r>
      <w:r w:rsidR="00863AC1">
        <w:t>pusmetį</w:t>
      </w:r>
      <w:r w:rsidR="00C477E6" w:rsidRPr="000B5474">
        <w:t xml:space="preserve"> bendras gautų skundų (prašymų) nagrinėjimo laikotarpis Ginčų k</w:t>
      </w:r>
      <w:r w:rsidR="00C477E6">
        <w:t>omisijoje</w:t>
      </w:r>
      <w:r w:rsidR="00C477E6" w:rsidRPr="000B5474">
        <w:t xml:space="preserve"> </w:t>
      </w:r>
      <w:r w:rsidR="00C477E6" w:rsidRPr="00863AC1">
        <w:t xml:space="preserve">– </w:t>
      </w:r>
      <w:r w:rsidR="00CB460A" w:rsidRPr="00863AC1">
        <w:t>1</w:t>
      </w:r>
      <w:r w:rsidR="00C477E6" w:rsidRPr="00863AC1">
        <w:t xml:space="preserve"> mėn. </w:t>
      </w:r>
      <w:r>
        <w:t>15</w:t>
      </w:r>
      <w:r w:rsidR="00C477E6" w:rsidRPr="00863AC1">
        <w:t xml:space="preserve"> d. </w:t>
      </w:r>
    </w:p>
    <w:p w:rsidR="00C477E6" w:rsidRDefault="00C477E6" w:rsidP="00C477E6">
      <w:pPr>
        <w:pStyle w:val="Sraopastraipa"/>
        <w:numPr>
          <w:ilvl w:val="0"/>
          <w:numId w:val="2"/>
        </w:numPr>
        <w:spacing w:line="360" w:lineRule="auto"/>
        <w:jc w:val="both"/>
      </w:pPr>
      <w:r w:rsidRPr="000B5474">
        <w:t xml:space="preserve">Per </w:t>
      </w:r>
      <w:r w:rsidR="006E7B78">
        <w:t>ataskaitinį laikotarpį</w:t>
      </w:r>
      <w:r w:rsidRPr="000B5474">
        <w:t xml:space="preserve"> buvo gaut</w:t>
      </w:r>
      <w:r w:rsidR="00CB460A">
        <w:t xml:space="preserve">i </w:t>
      </w:r>
      <w:r w:rsidR="00863AC1">
        <w:t>2</w:t>
      </w:r>
      <w:r w:rsidR="007A48DF">
        <w:t>89</w:t>
      </w:r>
      <w:r w:rsidRPr="000B5474">
        <w:t xml:space="preserve"> skund</w:t>
      </w:r>
      <w:r>
        <w:t>ai</w:t>
      </w:r>
      <w:r w:rsidRPr="000B5474">
        <w:t xml:space="preserve"> (prašym</w:t>
      </w:r>
      <w:r>
        <w:t>ai</w:t>
      </w:r>
      <w:r w:rsidRPr="000B5474">
        <w:t>), iš jų:</w:t>
      </w:r>
    </w:p>
    <w:p w:rsidR="00C477E6" w:rsidRPr="00DD167A" w:rsidRDefault="00C477E6" w:rsidP="00C477E6">
      <w:pPr>
        <w:pStyle w:val="Sraopastraipa"/>
        <w:numPr>
          <w:ilvl w:val="1"/>
          <w:numId w:val="3"/>
        </w:numPr>
        <w:spacing w:line="360" w:lineRule="auto"/>
        <w:jc w:val="both"/>
      </w:pPr>
      <w:r w:rsidRPr="000B5474">
        <w:t xml:space="preserve">išnagrinėti ir priimti sprendimai - </w:t>
      </w:r>
      <w:r w:rsidR="00F460D6" w:rsidRPr="000173F1">
        <w:t>1</w:t>
      </w:r>
      <w:r w:rsidR="000173F1">
        <w:t>92</w:t>
      </w:r>
      <w:r w:rsidRPr="000173F1">
        <w:t xml:space="preserve"> arba </w:t>
      </w:r>
      <w:r w:rsidR="000173F1" w:rsidRPr="000173F1">
        <w:t>6</w:t>
      </w:r>
      <w:r w:rsidR="001006DC">
        <w:t>6</w:t>
      </w:r>
      <w:r w:rsidR="000173F1" w:rsidRPr="000173F1">
        <w:t>,</w:t>
      </w:r>
      <w:r w:rsidR="001006DC">
        <w:t>4</w:t>
      </w:r>
      <w:r w:rsidRPr="000173F1">
        <w:t xml:space="preserve"> %.</w:t>
      </w:r>
      <w:r w:rsidRPr="007A48DF">
        <w:rPr>
          <w:color w:val="FF0000"/>
        </w:rPr>
        <w:t xml:space="preserve"> </w:t>
      </w:r>
      <w:r w:rsidRPr="00DD167A">
        <w:t>Bendras 201</w:t>
      </w:r>
      <w:r w:rsidR="00F460D6">
        <w:t>3</w:t>
      </w:r>
      <w:r w:rsidRPr="00DD167A">
        <w:t xml:space="preserve"> m. I-</w:t>
      </w:r>
      <w:proofErr w:type="spellStart"/>
      <w:r w:rsidRPr="00DD167A">
        <w:t>ąjį</w:t>
      </w:r>
      <w:proofErr w:type="spellEnd"/>
      <w:r w:rsidRPr="00DD167A">
        <w:t xml:space="preserve"> </w:t>
      </w:r>
      <w:r w:rsidR="00DD167A">
        <w:t>pusmetį</w:t>
      </w:r>
      <w:r w:rsidRPr="00DD167A">
        <w:t xml:space="preserve"> išnagrinėtų skundų (prašymų) skaičius (įskaitant gautus 201</w:t>
      </w:r>
      <w:r w:rsidR="00F460D6">
        <w:t>2</w:t>
      </w:r>
      <w:r w:rsidRPr="00DD167A">
        <w:t xml:space="preserve"> m. IV </w:t>
      </w:r>
      <w:proofErr w:type="spellStart"/>
      <w:r w:rsidRPr="00DD167A">
        <w:t>ketv</w:t>
      </w:r>
      <w:proofErr w:type="spellEnd"/>
      <w:r w:rsidRPr="00DD167A">
        <w:t xml:space="preserve">. ir neišnagrinėtus </w:t>
      </w:r>
      <w:r w:rsidR="00F460D6" w:rsidRPr="00F460D6">
        <w:t>56</w:t>
      </w:r>
      <w:r w:rsidRPr="00F460D6">
        <w:t xml:space="preserve"> </w:t>
      </w:r>
      <w:r w:rsidRPr="00DD167A">
        <w:t xml:space="preserve">skundus (prašymus)) – </w:t>
      </w:r>
      <w:r w:rsidR="00F460D6" w:rsidRPr="00F460D6">
        <w:t>248</w:t>
      </w:r>
      <w:r w:rsidRPr="00DD167A">
        <w:t>.</w:t>
      </w:r>
    </w:p>
    <w:p w:rsidR="00C477E6" w:rsidRPr="000B5474" w:rsidRDefault="00C477E6" w:rsidP="00C477E6">
      <w:pPr>
        <w:pStyle w:val="Sraopastraipa"/>
        <w:numPr>
          <w:ilvl w:val="1"/>
          <w:numId w:val="3"/>
        </w:numPr>
        <w:spacing w:line="360" w:lineRule="auto"/>
        <w:jc w:val="both"/>
      </w:pPr>
      <w:r w:rsidRPr="000B5474">
        <w:t xml:space="preserve">nebaigti nagrinėti – </w:t>
      </w:r>
      <w:r w:rsidR="007A48DF">
        <w:t>39</w:t>
      </w:r>
      <w:r w:rsidRPr="000B5474">
        <w:t xml:space="preserve"> arba </w:t>
      </w:r>
      <w:r w:rsidR="00F460D6" w:rsidRPr="00F460D6">
        <w:t>13,5</w:t>
      </w:r>
      <w:r w:rsidRPr="000B5474">
        <w:t xml:space="preserve"> </w:t>
      </w:r>
      <w:r>
        <w:t>%;</w:t>
      </w:r>
    </w:p>
    <w:p w:rsidR="00C477E6" w:rsidRPr="000B5474" w:rsidRDefault="00C477E6" w:rsidP="00C477E6">
      <w:pPr>
        <w:pStyle w:val="Sraopastraipa"/>
        <w:numPr>
          <w:ilvl w:val="1"/>
          <w:numId w:val="3"/>
        </w:numPr>
        <w:spacing w:line="360" w:lineRule="auto"/>
        <w:jc w:val="both"/>
      </w:pPr>
      <w:r w:rsidRPr="000B5474">
        <w:t xml:space="preserve">persiųsti į NDNT – </w:t>
      </w:r>
      <w:r w:rsidR="007A48DF">
        <w:t>2</w:t>
      </w:r>
      <w:r w:rsidR="000173F1">
        <w:t>8</w:t>
      </w:r>
      <w:r w:rsidRPr="000B5474">
        <w:t xml:space="preserve"> arba </w:t>
      </w:r>
      <w:r w:rsidR="000173F1">
        <w:t>9,7</w:t>
      </w:r>
      <w:r w:rsidRPr="00F460D6">
        <w:t xml:space="preserve"> </w:t>
      </w:r>
      <w:r w:rsidRPr="000B5474">
        <w:t>%;</w:t>
      </w:r>
    </w:p>
    <w:p w:rsidR="00C477E6" w:rsidRPr="00970EE9" w:rsidRDefault="00C477E6" w:rsidP="00C477E6">
      <w:pPr>
        <w:pStyle w:val="Sraopastraipa"/>
        <w:numPr>
          <w:ilvl w:val="1"/>
          <w:numId w:val="3"/>
        </w:numPr>
        <w:spacing w:line="360" w:lineRule="auto"/>
        <w:jc w:val="both"/>
      </w:pPr>
      <w:r w:rsidRPr="00970EE9">
        <w:t xml:space="preserve">persiųsti į kitas institucijas – 1 arba </w:t>
      </w:r>
      <w:r w:rsidRPr="00F460D6">
        <w:t>0,</w:t>
      </w:r>
      <w:r w:rsidR="00F460D6" w:rsidRPr="00F460D6">
        <w:t>3</w:t>
      </w:r>
      <w:r w:rsidRPr="00970EE9">
        <w:t xml:space="preserve"> %;</w:t>
      </w:r>
    </w:p>
    <w:p w:rsidR="00C477E6" w:rsidRPr="00970EE9" w:rsidRDefault="00C477E6" w:rsidP="00C477E6">
      <w:pPr>
        <w:pStyle w:val="Sraopastraipa"/>
        <w:numPr>
          <w:ilvl w:val="1"/>
          <w:numId w:val="3"/>
        </w:numPr>
        <w:spacing w:line="360" w:lineRule="auto"/>
        <w:jc w:val="both"/>
      </w:pPr>
      <w:r w:rsidRPr="00970EE9">
        <w:t>nutraukti teikėjo prašymu</w:t>
      </w:r>
      <w:r w:rsidR="002D2858">
        <w:t xml:space="preserve"> </w:t>
      </w:r>
      <w:r w:rsidRPr="00970EE9">
        <w:t xml:space="preserve">– </w:t>
      </w:r>
      <w:r w:rsidR="007A48DF">
        <w:t xml:space="preserve">2 arba </w:t>
      </w:r>
      <w:r w:rsidR="007A48DF" w:rsidRPr="00F460D6">
        <w:t>0,</w:t>
      </w:r>
      <w:r w:rsidR="00F460D6" w:rsidRPr="00F460D6">
        <w:t>7</w:t>
      </w:r>
      <w:r w:rsidR="007A48DF" w:rsidRPr="00970EE9">
        <w:t xml:space="preserve"> %;</w:t>
      </w:r>
      <w:r w:rsidR="000311C3" w:rsidRPr="00970EE9">
        <w:t>;</w:t>
      </w:r>
    </w:p>
    <w:p w:rsidR="00C477E6" w:rsidRPr="00970EE9" w:rsidRDefault="00C477E6" w:rsidP="00C477E6">
      <w:pPr>
        <w:pStyle w:val="Sraopastraipa"/>
        <w:numPr>
          <w:ilvl w:val="1"/>
          <w:numId w:val="3"/>
        </w:numPr>
        <w:spacing w:line="360" w:lineRule="auto"/>
        <w:jc w:val="both"/>
      </w:pPr>
      <w:r w:rsidRPr="00970EE9">
        <w:t xml:space="preserve">atmesti dėl praleisto termino – </w:t>
      </w:r>
      <w:r w:rsidR="000E5957">
        <w:t xml:space="preserve">7 arba </w:t>
      </w:r>
      <w:r w:rsidR="00F460D6" w:rsidRPr="00F460D6">
        <w:t>2</w:t>
      </w:r>
      <w:r w:rsidR="000E5957" w:rsidRPr="00F460D6">
        <w:t>,4</w:t>
      </w:r>
      <w:r w:rsidR="000E5957" w:rsidRPr="00970EE9">
        <w:t xml:space="preserve"> %</w:t>
      </w:r>
      <w:r w:rsidR="000311C3" w:rsidRPr="00970EE9">
        <w:t>;</w:t>
      </w:r>
    </w:p>
    <w:p w:rsidR="00C477E6" w:rsidRDefault="00C477E6" w:rsidP="00C477E6">
      <w:pPr>
        <w:pStyle w:val="Sraopastraipa"/>
        <w:numPr>
          <w:ilvl w:val="1"/>
          <w:numId w:val="3"/>
        </w:numPr>
        <w:spacing w:line="360" w:lineRule="auto"/>
        <w:jc w:val="both"/>
      </w:pPr>
      <w:r w:rsidRPr="00970EE9">
        <w:t xml:space="preserve">nepriimti nagrinėti (neatitinkant Lietuvos Respublikos administracinių bylų teisenos įstatymo 23 straipsnio 3 dalies reikalavimams) – </w:t>
      </w:r>
      <w:r w:rsidR="00446AEC">
        <w:t>2</w:t>
      </w:r>
      <w:r w:rsidR="000173F1">
        <w:t>0</w:t>
      </w:r>
      <w:r w:rsidR="00970EE9">
        <w:t xml:space="preserve"> </w:t>
      </w:r>
      <w:r w:rsidRPr="00970EE9">
        <w:t xml:space="preserve">arba </w:t>
      </w:r>
      <w:r w:rsidR="000173F1">
        <w:t>6,9</w:t>
      </w:r>
      <w:r w:rsidRPr="00970EE9">
        <w:t xml:space="preserve"> %.</w:t>
      </w:r>
    </w:p>
    <w:p w:rsidR="00C477E6" w:rsidRPr="000B5474" w:rsidRDefault="00C477E6" w:rsidP="00C477E6">
      <w:pPr>
        <w:pStyle w:val="Sraopastraipa"/>
        <w:numPr>
          <w:ilvl w:val="0"/>
          <w:numId w:val="4"/>
        </w:numPr>
        <w:spacing w:line="360" w:lineRule="auto"/>
        <w:jc w:val="both"/>
      </w:pPr>
      <w:r w:rsidRPr="000B5474">
        <w:rPr>
          <w:rFonts w:eastAsia="Calibri"/>
        </w:rPr>
        <w:t>201</w:t>
      </w:r>
      <w:r w:rsidR="000E5957">
        <w:rPr>
          <w:rFonts w:eastAsia="Calibri"/>
        </w:rPr>
        <w:t xml:space="preserve">3 </w:t>
      </w:r>
      <w:r w:rsidRPr="000B5474">
        <w:rPr>
          <w:rFonts w:eastAsia="Calibri"/>
        </w:rPr>
        <w:t>m.</w:t>
      </w:r>
      <w:r>
        <w:rPr>
          <w:rFonts w:eastAsia="Calibri"/>
        </w:rPr>
        <w:t xml:space="preserve"> I-</w:t>
      </w:r>
      <w:proofErr w:type="spellStart"/>
      <w:r>
        <w:rPr>
          <w:rFonts w:eastAsia="Calibri"/>
        </w:rPr>
        <w:t>ojo</w:t>
      </w:r>
      <w:proofErr w:type="spellEnd"/>
      <w:r>
        <w:rPr>
          <w:rFonts w:eastAsia="Calibri"/>
        </w:rPr>
        <w:t xml:space="preserve"> </w:t>
      </w:r>
      <w:r w:rsidR="00446AEC">
        <w:rPr>
          <w:rFonts w:eastAsia="Calibri"/>
        </w:rPr>
        <w:t>pusme</w:t>
      </w:r>
      <w:r>
        <w:rPr>
          <w:rFonts w:eastAsia="Calibri"/>
        </w:rPr>
        <w:t>čio</w:t>
      </w:r>
      <w:r w:rsidRPr="000B5474">
        <w:rPr>
          <w:rFonts w:eastAsia="Calibri"/>
        </w:rPr>
        <w:t xml:space="preserve"> skundų nagrinėjimo rezultatai:</w:t>
      </w:r>
    </w:p>
    <w:p w:rsidR="00C477E6" w:rsidRPr="000B5474" w:rsidRDefault="00C477E6" w:rsidP="00C477E6">
      <w:pPr>
        <w:pStyle w:val="Sraopastraipa"/>
        <w:numPr>
          <w:ilvl w:val="0"/>
          <w:numId w:val="5"/>
        </w:numPr>
        <w:spacing w:line="360" w:lineRule="auto"/>
        <w:ind w:left="2127" w:hanging="284"/>
        <w:jc w:val="both"/>
        <w:rPr>
          <w:rFonts w:eastAsia="Calibri"/>
        </w:rPr>
      </w:pPr>
      <w:r w:rsidRPr="000B5474">
        <w:rPr>
          <w:rFonts w:eastAsia="Calibri"/>
        </w:rPr>
        <w:t xml:space="preserve">pakeistų NDNT Sprendimų kontrolės skyriaus sprendimų skaičius – </w:t>
      </w:r>
      <w:r w:rsidR="000E5957">
        <w:rPr>
          <w:rFonts w:eastAsia="Calibri"/>
        </w:rPr>
        <w:t>32</w:t>
      </w:r>
      <w:r w:rsidRPr="000B5474">
        <w:rPr>
          <w:rFonts w:eastAsia="Calibri"/>
        </w:rPr>
        <w:t xml:space="preserve"> arba </w:t>
      </w:r>
      <w:r w:rsidR="000E5957" w:rsidRPr="000E5957">
        <w:rPr>
          <w:rFonts w:eastAsia="Calibri"/>
        </w:rPr>
        <w:t>12,9</w:t>
      </w:r>
      <w:r w:rsidR="00446AEC">
        <w:rPr>
          <w:rFonts w:eastAsia="Calibri"/>
        </w:rPr>
        <w:t xml:space="preserve"> </w:t>
      </w:r>
      <w:r w:rsidRPr="000B5474">
        <w:rPr>
          <w:rFonts w:eastAsia="Calibri"/>
        </w:rPr>
        <w:t>%;</w:t>
      </w:r>
    </w:p>
    <w:p w:rsidR="00C477E6" w:rsidRPr="000B5474" w:rsidRDefault="00C477E6" w:rsidP="00C477E6">
      <w:pPr>
        <w:pStyle w:val="Sraopastraipa"/>
        <w:spacing w:line="360" w:lineRule="auto"/>
        <w:ind w:left="2127" w:hanging="284"/>
        <w:jc w:val="both"/>
        <w:rPr>
          <w:rFonts w:eastAsia="Calibri"/>
        </w:rPr>
      </w:pPr>
      <w:r>
        <w:rPr>
          <w:rFonts w:eastAsia="Calibri"/>
        </w:rPr>
        <w:t xml:space="preserve">2) </w:t>
      </w:r>
      <w:r w:rsidRPr="000B5474">
        <w:rPr>
          <w:rFonts w:eastAsia="Calibri"/>
        </w:rPr>
        <w:t>papildytų</w:t>
      </w:r>
      <w:r>
        <w:rPr>
          <w:rFonts w:eastAsia="Calibri"/>
        </w:rPr>
        <w:t xml:space="preserve"> (tenkintų iš dalies)</w:t>
      </w:r>
      <w:r w:rsidRPr="000B5474">
        <w:rPr>
          <w:rFonts w:eastAsia="Calibri"/>
        </w:rPr>
        <w:t xml:space="preserve">, tačiau nekeistų NDNT Sprendimų kontrolės skyriaus sprendimų skaičius – </w:t>
      </w:r>
      <w:r w:rsidR="000E5957">
        <w:rPr>
          <w:rFonts w:eastAsia="Calibri"/>
        </w:rPr>
        <w:t>4</w:t>
      </w:r>
      <w:r w:rsidRPr="000B5474">
        <w:rPr>
          <w:rFonts w:eastAsia="Calibri"/>
        </w:rPr>
        <w:t xml:space="preserve"> </w:t>
      </w:r>
      <w:r w:rsidRPr="00446AEC">
        <w:rPr>
          <w:rFonts w:eastAsia="Calibri"/>
        </w:rPr>
        <w:t xml:space="preserve">arba </w:t>
      </w:r>
      <w:r w:rsidR="000E5957" w:rsidRPr="000E5957">
        <w:rPr>
          <w:rFonts w:eastAsia="Calibri"/>
        </w:rPr>
        <w:t>1,6</w:t>
      </w:r>
      <w:r w:rsidRPr="00446AEC">
        <w:rPr>
          <w:rFonts w:eastAsia="Calibri"/>
        </w:rPr>
        <w:t xml:space="preserve"> %;</w:t>
      </w:r>
    </w:p>
    <w:p w:rsidR="00C477E6" w:rsidRPr="00446AEC" w:rsidRDefault="00C477E6" w:rsidP="00C477E6">
      <w:pPr>
        <w:pStyle w:val="Sraopastraipa"/>
        <w:spacing w:line="360" w:lineRule="auto"/>
        <w:ind w:left="2127" w:hanging="284"/>
        <w:jc w:val="both"/>
      </w:pPr>
      <w:r w:rsidRPr="000B5474">
        <w:rPr>
          <w:rFonts w:eastAsia="Calibri"/>
        </w:rPr>
        <w:lastRenderedPageBreak/>
        <w:t>3</w:t>
      </w:r>
      <w:r>
        <w:rPr>
          <w:rFonts w:eastAsia="Calibri"/>
        </w:rPr>
        <w:t xml:space="preserve">) </w:t>
      </w:r>
      <w:r w:rsidRPr="000B5474">
        <w:t xml:space="preserve">paliktų galioti </w:t>
      </w:r>
      <w:r w:rsidRPr="000B5474">
        <w:rPr>
          <w:rFonts w:eastAsia="Calibri"/>
        </w:rPr>
        <w:t xml:space="preserve">NDNT Sprendimų kontrolės skyriaus sprendimų skaičius – </w:t>
      </w:r>
      <w:r w:rsidR="000E5957">
        <w:rPr>
          <w:rFonts w:eastAsia="Calibri"/>
        </w:rPr>
        <w:t>212</w:t>
      </w:r>
      <w:r w:rsidRPr="000B5474">
        <w:rPr>
          <w:rFonts w:eastAsia="Calibri"/>
        </w:rPr>
        <w:t xml:space="preserve"> arba </w:t>
      </w:r>
      <w:r w:rsidR="000E5957" w:rsidRPr="000E5957">
        <w:rPr>
          <w:rFonts w:eastAsia="Calibri"/>
        </w:rPr>
        <w:t>85,5</w:t>
      </w:r>
      <w:r w:rsidRPr="00446AEC">
        <w:rPr>
          <w:rFonts w:eastAsia="Calibri"/>
        </w:rPr>
        <w:t xml:space="preserve"> </w:t>
      </w:r>
      <w:r w:rsidRPr="00446AEC">
        <w:t>%.</w:t>
      </w:r>
    </w:p>
    <w:p w:rsidR="00C477E6" w:rsidRPr="000B5474" w:rsidRDefault="00C477E6" w:rsidP="00C477E6">
      <w:pPr>
        <w:pStyle w:val="Sraopastraipa"/>
        <w:spacing w:line="360" w:lineRule="auto"/>
        <w:ind w:left="1440"/>
        <w:jc w:val="both"/>
        <w:rPr>
          <w:b/>
        </w:rPr>
      </w:pPr>
    </w:p>
    <w:p w:rsidR="00C477E6" w:rsidRPr="007A1B6C" w:rsidRDefault="00C477E6" w:rsidP="00C477E6">
      <w:pPr>
        <w:pStyle w:val="Sraopastraipa"/>
        <w:spacing w:line="360" w:lineRule="auto"/>
        <w:ind w:left="0" w:firstLine="720"/>
        <w:jc w:val="both"/>
      </w:pPr>
      <w:r w:rsidRPr="000B5474">
        <w:rPr>
          <w:b/>
        </w:rPr>
        <w:t>Asignavimų panaudojimas</w:t>
      </w:r>
      <w:r w:rsidRPr="000B5474">
        <w:t xml:space="preserve">: Planuoti ataskaitinio laikotarpio </w:t>
      </w:r>
      <w:r w:rsidRPr="007A1B6C">
        <w:t xml:space="preserve">asignavimai </w:t>
      </w:r>
      <w:r w:rsidR="007A1B6C" w:rsidRPr="007A1B6C">
        <w:t>325,0</w:t>
      </w:r>
      <w:r w:rsidRPr="007A1B6C">
        <w:t xml:space="preserve"> tūkst. litų. Faktiniai ataskaitinio laikotarpio asignavimai (kasinės išlaidos) – </w:t>
      </w:r>
      <w:r w:rsidR="007A1B6C" w:rsidRPr="007A1B6C">
        <w:t>272,4</w:t>
      </w:r>
      <w:r w:rsidRPr="007A1B6C">
        <w:t xml:space="preserve"> tūkst. litų.</w:t>
      </w:r>
    </w:p>
    <w:p w:rsidR="00C477E6" w:rsidRPr="007A1B6C" w:rsidRDefault="00C477E6" w:rsidP="00C477E6">
      <w:pPr>
        <w:spacing w:line="360" w:lineRule="auto"/>
      </w:pPr>
    </w:p>
    <w:p w:rsidR="00C477E6" w:rsidRPr="000B5474" w:rsidRDefault="00C477E6" w:rsidP="00C477E6">
      <w:pPr>
        <w:tabs>
          <w:tab w:val="left" w:pos="0"/>
        </w:tabs>
        <w:spacing w:line="360" w:lineRule="auto"/>
        <w:jc w:val="both"/>
      </w:pPr>
      <w:r w:rsidRPr="000B5474">
        <w:tab/>
      </w:r>
    </w:p>
    <w:p w:rsidR="00C477E6" w:rsidRPr="000B5474" w:rsidRDefault="00C477E6" w:rsidP="00C477E6">
      <w:pPr>
        <w:spacing w:line="360" w:lineRule="auto"/>
        <w:rPr>
          <w:lang w:eastAsia="en-US"/>
        </w:rPr>
      </w:pPr>
    </w:p>
    <w:p w:rsidR="00C477E6" w:rsidRPr="000B5474" w:rsidRDefault="00C477E6" w:rsidP="00C477E6">
      <w:pPr>
        <w:spacing w:line="360" w:lineRule="auto"/>
        <w:rPr>
          <w:lang w:eastAsia="en-US"/>
        </w:rPr>
      </w:pPr>
    </w:p>
    <w:p w:rsidR="00C477E6" w:rsidRPr="000B5474" w:rsidRDefault="00C477E6" w:rsidP="00C477E6">
      <w:pPr>
        <w:spacing w:line="360" w:lineRule="auto"/>
        <w:rPr>
          <w:lang w:eastAsia="en-US"/>
        </w:rPr>
      </w:pPr>
    </w:p>
    <w:p w:rsidR="00C477E6" w:rsidRPr="000B5474" w:rsidRDefault="000E5957" w:rsidP="00C477E6">
      <w:pPr>
        <w:spacing w:line="360" w:lineRule="auto"/>
        <w:rPr>
          <w:lang w:eastAsia="en-US"/>
        </w:rPr>
      </w:pPr>
      <w:r>
        <w:rPr>
          <w:lang w:eastAsia="en-US"/>
        </w:rPr>
        <w:t>K</w:t>
      </w:r>
      <w:r w:rsidR="005B398D">
        <w:rPr>
          <w:lang w:eastAsia="en-US"/>
        </w:rPr>
        <w:t>omisijos pirminink</w:t>
      </w:r>
      <w:r w:rsidR="00DD167A">
        <w:rPr>
          <w:lang w:eastAsia="en-US"/>
        </w:rPr>
        <w:t>as</w:t>
      </w:r>
      <w:r w:rsidR="00C477E6" w:rsidRPr="000B5474">
        <w:rPr>
          <w:lang w:eastAsia="en-US"/>
        </w:rPr>
        <w:tab/>
      </w:r>
      <w:r w:rsidR="00C477E6" w:rsidRPr="000B5474">
        <w:rPr>
          <w:lang w:eastAsia="en-US"/>
        </w:rPr>
        <w:tab/>
      </w:r>
      <w:r w:rsidR="00C477E6" w:rsidRPr="000B5474">
        <w:rPr>
          <w:lang w:eastAsia="en-US"/>
        </w:rPr>
        <w:tab/>
      </w:r>
      <w:r>
        <w:rPr>
          <w:lang w:eastAsia="en-US"/>
        </w:rPr>
        <w:tab/>
      </w:r>
      <w:r w:rsidR="00C477E6" w:rsidRPr="000B5474">
        <w:rPr>
          <w:lang w:eastAsia="en-US"/>
        </w:rPr>
        <w:tab/>
      </w:r>
      <w:r w:rsidR="00DD167A">
        <w:rPr>
          <w:lang w:eastAsia="en-US"/>
        </w:rPr>
        <w:t>Klaudijus Stanionis</w:t>
      </w:r>
    </w:p>
    <w:p w:rsidR="00C477E6" w:rsidRPr="000B5474" w:rsidRDefault="00C477E6" w:rsidP="00C477E6">
      <w:pPr>
        <w:spacing w:line="360" w:lineRule="auto"/>
        <w:rPr>
          <w:lang w:eastAsia="en-US"/>
        </w:rPr>
      </w:pPr>
    </w:p>
    <w:p w:rsidR="00C477E6" w:rsidRPr="000B5474" w:rsidRDefault="00C477E6" w:rsidP="00C477E6">
      <w:pPr>
        <w:spacing w:line="360" w:lineRule="auto"/>
        <w:rPr>
          <w:lang w:eastAsia="en-US"/>
        </w:rPr>
        <w:sectPr w:rsidR="00C477E6" w:rsidRPr="000B5474" w:rsidSect="00265C50">
          <w:footerReference w:type="default" r:id="rId9"/>
          <w:pgSz w:w="12240" w:h="15840"/>
          <w:pgMar w:top="1134" w:right="851" w:bottom="1134" w:left="1440" w:header="709" w:footer="709" w:gutter="0"/>
          <w:cols w:space="708"/>
          <w:docGrid w:linePitch="360"/>
        </w:sectPr>
      </w:pPr>
    </w:p>
    <w:p w:rsidR="00C477E6" w:rsidRPr="000B5474" w:rsidRDefault="00C477E6" w:rsidP="00C477E6">
      <w:pPr>
        <w:spacing w:line="360" w:lineRule="auto"/>
        <w:jc w:val="right"/>
        <w:rPr>
          <w:b/>
          <w:i/>
          <w:lang w:eastAsia="en-US"/>
        </w:rPr>
      </w:pPr>
      <w:r w:rsidRPr="000B5474">
        <w:rPr>
          <w:b/>
          <w:i/>
          <w:lang w:eastAsia="en-US"/>
        </w:rPr>
        <w:lastRenderedPageBreak/>
        <w:t>PRIEDAS NR. 1</w:t>
      </w:r>
    </w:p>
    <w:p w:rsidR="00C477E6" w:rsidRPr="000B5474" w:rsidRDefault="00C477E6" w:rsidP="00C477E6">
      <w:pPr>
        <w:spacing w:line="360" w:lineRule="auto"/>
        <w:rPr>
          <w:lang w:eastAsia="en-US"/>
        </w:rPr>
      </w:pPr>
    </w:p>
    <w:p w:rsidR="00C477E6" w:rsidRPr="000B5474" w:rsidRDefault="00C477E6" w:rsidP="00C477E6">
      <w:pPr>
        <w:spacing w:line="360" w:lineRule="auto"/>
        <w:jc w:val="center"/>
        <w:rPr>
          <w:b/>
          <w:sz w:val="28"/>
          <w:szCs w:val="28"/>
          <w:lang w:eastAsia="en-US"/>
        </w:rPr>
      </w:pPr>
      <w:r w:rsidRPr="000B5474">
        <w:rPr>
          <w:b/>
          <w:sz w:val="28"/>
          <w:szCs w:val="28"/>
          <w:lang w:eastAsia="en-US"/>
        </w:rPr>
        <w:t>1 lentelė. Ginčų komisijos prie SADM gautų skundų skaičius</w:t>
      </w:r>
    </w:p>
    <w:p w:rsidR="00C477E6" w:rsidRPr="000B5474" w:rsidRDefault="00C477E6" w:rsidP="00C477E6">
      <w:pPr>
        <w:spacing w:line="360" w:lineRule="auto"/>
        <w:jc w:val="center"/>
        <w:rPr>
          <w:b/>
          <w:i/>
          <w:sz w:val="28"/>
          <w:szCs w:val="28"/>
          <w:lang w:eastAsia="en-US"/>
        </w:rPr>
      </w:pPr>
      <w:r w:rsidRPr="000B5474">
        <w:rPr>
          <w:b/>
          <w:i/>
          <w:sz w:val="28"/>
          <w:szCs w:val="28"/>
          <w:lang w:eastAsia="en-US"/>
        </w:rPr>
        <w:t xml:space="preserve">(2005 m. III </w:t>
      </w:r>
      <w:proofErr w:type="spellStart"/>
      <w:r w:rsidRPr="000B5474">
        <w:rPr>
          <w:b/>
          <w:i/>
          <w:sz w:val="28"/>
          <w:szCs w:val="28"/>
          <w:lang w:eastAsia="en-US"/>
        </w:rPr>
        <w:t>ketv</w:t>
      </w:r>
      <w:proofErr w:type="spellEnd"/>
      <w:r w:rsidRPr="000B5474">
        <w:rPr>
          <w:b/>
          <w:i/>
          <w:sz w:val="28"/>
          <w:szCs w:val="28"/>
          <w:lang w:eastAsia="en-US"/>
        </w:rPr>
        <w:t>. – 201</w:t>
      </w:r>
      <w:r w:rsidR="000E5957">
        <w:rPr>
          <w:b/>
          <w:i/>
          <w:sz w:val="28"/>
          <w:szCs w:val="28"/>
          <w:lang w:eastAsia="en-US"/>
        </w:rPr>
        <w:t>3</w:t>
      </w:r>
      <w:r w:rsidRPr="000B5474">
        <w:rPr>
          <w:b/>
          <w:i/>
          <w:sz w:val="28"/>
          <w:szCs w:val="28"/>
          <w:lang w:eastAsia="en-US"/>
        </w:rPr>
        <w:t xml:space="preserve"> m.</w:t>
      </w:r>
      <w:r>
        <w:rPr>
          <w:b/>
          <w:i/>
          <w:sz w:val="28"/>
          <w:szCs w:val="28"/>
          <w:lang w:eastAsia="en-US"/>
        </w:rPr>
        <w:t xml:space="preserve"> I </w:t>
      </w:r>
      <w:proofErr w:type="spellStart"/>
      <w:r w:rsidR="00DD167A">
        <w:rPr>
          <w:b/>
          <w:i/>
          <w:sz w:val="28"/>
          <w:szCs w:val="28"/>
          <w:lang w:eastAsia="en-US"/>
        </w:rPr>
        <w:t>pusm</w:t>
      </w:r>
      <w:proofErr w:type="spellEnd"/>
      <w:r>
        <w:rPr>
          <w:b/>
          <w:i/>
          <w:sz w:val="28"/>
          <w:szCs w:val="28"/>
          <w:lang w:eastAsia="en-US"/>
        </w:rPr>
        <w:t>.</w:t>
      </w:r>
      <w:r w:rsidRPr="000B5474">
        <w:rPr>
          <w:b/>
          <w:i/>
          <w:sz w:val="28"/>
          <w:szCs w:val="28"/>
          <w:lang w:eastAsia="en-US"/>
        </w:rPr>
        <w:t>)</w:t>
      </w:r>
    </w:p>
    <w:p w:rsidR="00C477E6" w:rsidRPr="000B5474" w:rsidRDefault="00C477E6" w:rsidP="00C477E6">
      <w:pPr>
        <w:spacing w:line="360" w:lineRule="auto"/>
        <w:rPr>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563"/>
        <w:gridCol w:w="566"/>
        <w:gridCol w:w="592"/>
        <w:gridCol w:w="726"/>
        <w:gridCol w:w="585"/>
        <w:gridCol w:w="567"/>
        <w:gridCol w:w="585"/>
        <w:gridCol w:w="726"/>
        <w:gridCol w:w="837"/>
        <w:gridCol w:w="642"/>
        <w:gridCol w:w="698"/>
        <w:gridCol w:w="585"/>
        <w:gridCol w:w="716"/>
        <w:gridCol w:w="561"/>
        <w:gridCol w:w="576"/>
        <w:gridCol w:w="629"/>
        <w:gridCol w:w="716"/>
        <w:gridCol w:w="837"/>
        <w:gridCol w:w="653"/>
      </w:tblGrid>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Metai</w:t>
            </w:r>
          </w:p>
        </w:tc>
        <w:tc>
          <w:tcPr>
            <w:tcW w:w="563"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w:t>
            </w:r>
          </w:p>
        </w:tc>
        <w:tc>
          <w:tcPr>
            <w:tcW w:w="56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II</w:t>
            </w:r>
          </w:p>
        </w:tc>
        <w:tc>
          <w:tcPr>
            <w:tcW w:w="592"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III</w:t>
            </w:r>
          </w:p>
        </w:tc>
        <w:tc>
          <w:tcPr>
            <w:tcW w:w="72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585"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IV</w:t>
            </w:r>
          </w:p>
        </w:tc>
        <w:tc>
          <w:tcPr>
            <w:tcW w:w="56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w:t>
            </w:r>
          </w:p>
        </w:tc>
        <w:tc>
          <w:tcPr>
            <w:tcW w:w="585"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VI</w:t>
            </w:r>
          </w:p>
        </w:tc>
        <w:tc>
          <w:tcPr>
            <w:tcW w:w="72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II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83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 </w:t>
            </w:r>
            <w:proofErr w:type="spellStart"/>
            <w:r w:rsidRPr="000B5474">
              <w:rPr>
                <w:rFonts w:ascii="Times New Roman" w:hAnsi="Times New Roman"/>
                <w:b/>
                <w:sz w:val="24"/>
                <w:szCs w:val="24"/>
                <w:lang w:val="lt-LT"/>
              </w:rPr>
              <w:t>pusm</w:t>
            </w:r>
            <w:proofErr w:type="spellEnd"/>
            <w:r w:rsidRPr="000B5474">
              <w:rPr>
                <w:rFonts w:ascii="Times New Roman" w:hAnsi="Times New Roman"/>
                <w:b/>
                <w:sz w:val="24"/>
                <w:szCs w:val="24"/>
                <w:lang w:val="lt-LT"/>
              </w:rPr>
              <w:t>.</w:t>
            </w:r>
          </w:p>
        </w:tc>
        <w:tc>
          <w:tcPr>
            <w:tcW w:w="642"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VII</w:t>
            </w:r>
          </w:p>
        </w:tc>
        <w:tc>
          <w:tcPr>
            <w:tcW w:w="698"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VIII</w:t>
            </w:r>
          </w:p>
        </w:tc>
        <w:tc>
          <w:tcPr>
            <w:tcW w:w="585"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IX</w:t>
            </w:r>
          </w:p>
        </w:tc>
        <w:tc>
          <w:tcPr>
            <w:tcW w:w="7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III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561"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X</w:t>
            </w:r>
          </w:p>
        </w:tc>
        <w:tc>
          <w:tcPr>
            <w:tcW w:w="57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XI</w:t>
            </w:r>
          </w:p>
        </w:tc>
        <w:tc>
          <w:tcPr>
            <w:tcW w:w="629"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XII</w:t>
            </w:r>
          </w:p>
        </w:tc>
        <w:tc>
          <w:tcPr>
            <w:tcW w:w="7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IV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83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II </w:t>
            </w:r>
            <w:proofErr w:type="spellStart"/>
            <w:r w:rsidRPr="000B5474">
              <w:rPr>
                <w:rFonts w:ascii="Times New Roman" w:hAnsi="Times New Roman"/>
                <w:b/>
                <w:sz w:val="24"/>
                <w:szCs w:val="24"/>
                <w:lang w:val="lt-LT"/>
              </w:rPr>
              <w:t>pusm</w:t>
            </w:r>
            <w:proofErr w:type="spellEnd"/>
            <w:r w:rsidRPr="000B5474">
              <w:rPr>
                <w:rFonts w:ascii="Times New Roman" w:hAnsi="Times New Roman"/>
                <w:b/>
                <w:sz w:val="24"/>
                <w:szCs w:val="24"/>
                <w:lang w:val="lt-LT"/>
              </w:rPr>
              <w:t>.</w:t>
            </w:r>
          </w:p>
        </w:tc>
        <w:tc>
          <w:tcPr>
            <w:tcW w:w="653"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Iš viso</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2005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11</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26</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16</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9</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45</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71</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71</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2006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27</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26</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78</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32</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76</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154</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26</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54</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10</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17</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42</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96</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250</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2007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17</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45</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13</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41</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86</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40</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21</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21</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61</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101</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188</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2008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33</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21</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22</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17</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60</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127</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9</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29</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11</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38</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194</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2009 m.</w:t>
            </w:r>
          </w:p>
        </w:tc>
        <w:tc>
          <w:tcPr>
            <w:tcW w:w="563"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23</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30</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22</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22</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63</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130</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18</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16</w:t>
            </w:r>
          </w:p>
        </w:tc>
        <w:tc>
          <w:tcPr>
            <w:tcW w:w="585"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32</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60</w:t>
            </w:r>
          </w:p>
        </w:tc>
        <w:tc>
          <w:tcPr>
            <w:tcW w:w="561"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30</w:t>
            </w:r>
          </w:p>
        </w:tc>
        <w:tc>
          <w:tcPr>
            <w:tcW w:w="576"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47</w:t>
            </w:r>
          </w:p>
        </w:tc>
        <w:tc>
          <w:tcPr>
            <w:tcW w:w="629"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35</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124</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184</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314</w:t>
            </w:r>
          </w:p>
        </w:tc>
      </w:tr>
      <w:tr w:rsidR="00C477E6" w:rsidRPr="000B5474" w:rsidTr="00D34B7A">
        <w:tc>
          <w:tcPr>
            <w:tcW w:w="8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2010 m.</w:t>
            </w:r>
          </w:p>
        </w:tc>
        <w:tc>
          <w:tcPr>
            <w:tcW w:w="563"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36</w:t>
            </w:r>
          </w:p>
        </w:tc>
        <w:tc>
          <w:tcPr>
            <w:tcW w:w="566"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51</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154</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43</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33</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101</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255</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34</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47</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51</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132</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50</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49</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153</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285</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540</w:t>
            </w:r>
          </w:p>
        </w:tc>
      </w:tr>
      <w:tr w:rsidR="00D34B7A" w:rsidRPr="000B5474" w:rsidTr="00D34B7A">
        <w:tc>
          <w:tcPr>
            <w:tcW w:w="816" w:type="dxa"/>
            <w:shd w:val="clear" w:color="auto" w:fill="BFBFBF"/>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2011 m.</w:t>
            </w:r>
          </w:p>
        </w:tc>
        <w:tc>
          <w:tcPr>
            <w:tcW w:w="563" w:type="dxa"/>
            <w:shd w:val="clear" w:color="auto" w:fill="auto"/>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61</w:t>
            </w:r>
          </w:p>
        </w:tc>
        <w:tc>
          <w:tcPr>
            <w:tcW w:w="566" w:type="dxa"/>
            <w:shd w:val="clear" w:color="auto" w:fill="auto"/>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62</w:t>
            </w:r>
          </w:p>
        </w:tc>
        <w:tc>
          <w:tcPr>
            <w:tcW w:w="592" w:type="dxa"/>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59</w:t>
            </w:r>
          </w:p>
        </w:tc>
        <w:tc>
          <w:tcPr>
            <w:tcW w:w="726" w:type="dxa"/>
            <w:shd w:val="clear" w:color="auto" w:fill="FFFF00"/>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182</w:t>
            </w:r>
          </w:p>
        </w:tc>
        <w:tc>
          <w:tcPr>
            <w:tcW w:w="585" w:type="dxa"/>
          </w:tcPr>
          <w:p w:rsidR="00D34B7A"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53</w:t>
            </w:r>
          </w:p>
          <w:p w:rsidR="00D34B7A" w:rsidRPr="000B5474" w:rsidRDefault="00D34B7A" w:rsidP="00E85A96">
            <w:pPr>
              <w:pStyle w:val="Betarp"/>
              <w:jc w:val="center"/>
              <w:rPr>
                <w:rFonts w:ascii="Times New Roman" w:hAnsi="Times New Roman"/>
                <w:b/>
                <w:sz w:val="24"/>
                <w:szCs w:val="24"/>
                <w:lang w:val="lt-LT"/>
              </w:rPr>
            </w:pPr>
          </w:p>
        </w:tc>
        <w:tc>
          <w:tcPr>
            <w:tcW w:w="567"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55</w:t>
            </w:r>
          </w:p>
        </w:tc>
        <w:tc>
          <w:tcPr>
            <w:tcW w:w="585"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63</w:t>
            </w:r>
          </w:p>
        </w:tc>
        <w:tc>
          <w:tcPr>
            <w:tcW w:w="726" w:type="dxa"/>
            <w:shd w:val="clear" w:color="auto" w:fill="FFFF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171</w:t>
            </w:r>
          </w:p>
        </w:tc>
        <w:tc>
          <w:tcPr>
            <w:tcW w:w="837" w:type="dxa"/>
            <w:shd w:val="clear" w:color="auto" w:fill="8DB3E2"/>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353</w:t>
            </w:r>
          </w:p>
        </w:tc>
        <w:tc>
          <w:tcPr>
            <w:tcW w:w="642"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52</w:t>
            </w:r>
          </w:p>
        </w:tc>
        <w:tc>
          <w:tcPr>
            <w:tcW w:w="698"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50</w:t>
            </w:r>
          </w:p>
        </w:tc>
        <w:tc>
          <w:tcPr>
            <w:tcW w:w="585"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41</w:t>
            </w:r>
          </w:p>
        </w:tc>
        <w:tc>
          <w:tcPr>
            <w:tcW w:w="716" w:type="dxa"/>
            <w:shd w:val="clear" w:color="auto" w:fill="FFFF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143</w:t>
            </w:r>
          </w:p>
        </w:tc>
        <w:tc>
          <w:tcPr>
            <w:tcW w:w="561"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46</w:t>
            </w:r>
          </w:p>
        </w:tc>
        <w:tc>
          <w:tcPr>
            <w:tcW w:w="576"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44</w:t>
            </w:r>
          </w:p>
        </w:tc>
        <w:tc>
          <w:tcPr>
            <w:tcW w:w="629"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39</w:t>
            </w:r>
          </w:p>
        </w:tc>
        <w:tc>
          <w:tcPr>
            <w:tcW w:w="716" w:type="dxa"/>
            <w:shd w:val="clear" w:color="auto" w:fill="FFFF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129</w:t>
            </w:r>
          </w:p>
        </w:tc>
        <w:tc>
          <w:tcPr>
            <w:tcW w:w="837" w:type="dxa"/>
            <w:shd w:val="clear" w:color="auto" w:fill="8DB3E2"/>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272</w:t>
            </w:r>
          </w:p>
        </w:tc>
        <w:tc>
          <w:tcPr>
            <w:tcW w:w="653" w:type="dxa"/>
            <w:shd w:val="clear" w:color="auto" w:fill="FF00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625</w:t>
            </w:r>
          </w:p>
        </w:tc>
      </w:tr>
      <w:tr w:rsidR="000E5957" w:rsidRPr="000B5474" w:rsidTr="00D34B7A">
        <w:tc>
          <w:tcPr>
            <w:tcW w:w="816" w:type="dxa"/>
            <w:shd w:val="clear" w:color="auto" w:fill="BFBFBF"/>
          </w:tcPr>
          <w:p w:rsidR="000E5957" w:rsidRDefault="000E5957" w:rsidP="00265C50">
            <w:pPr>
              <w:pStyle w:val="Betarp"/>
              <w:jc w:val="center"/>
              <w:rPr>
                <w:rFonts w:ascii="Times New Roman" w:hAnsi="Times New Roman"/>
                <w:b/>
                <w:sz w:val="24"/>
                <w:szCs w:val="24"/>
                <w:lang w:val="lt-LT"/>
              </w:rPr>
            </w:pPr>
            <w:r>
              <w:rPr>
                <w:rFonts w:ascii="Times New Roman" w:hAnsi="Times New Roman"/>
                <w:b/>
                <w:sz w:val="24"/>
                <w:szCs w:val="24"/>
                <w:lang w:val="lt-LT"/>
              </w:rPr>
              <w:t>2012 m.</w:t>
            </w:r>
          </w:p>
        </w:tc>
        <w:tc>
          <w:tcPr>
            <w:tcW w:w="563" w:type="dxa"/>
            <w:shd w:val="clear" w:color="auto" w:fill="auto"/>
          </w:tcPr>
          <w:p w:rsidR="000E5957" w:rsidRDefault="000E5957" w:rsidP="00265C50">
            <w:pPr>
              <w:pStyle w:val="Betarp"/>
              <w:jc w:val="center"/>
              <w:rPr>
                <w:rFonts w:ascii="Times New Roman" w:hAnsi="Times New Roman"/>
                <w:b/>
                <w:sz w:val="24"/>
                <w:szCs w:val="24"/>
                <w:lang w:val="lt-LT"/>
              </w:rPr>
            </w:pPr>
            <w:r>
              <w:rPr>
                <w:rFonts w:ascii="Times New Roman" w:hAnsi="Times New Roman"/>
                <w:b/>
                <w:sz w:val="24"/>
                <w:szCs w:val="24"/>
                <w:lang w:val="lt-LT"/>
              </w:rPr>
              <w:t>56</w:t>
            </w:r>
          </w:p>
        </w:tc>
        <w:tc>
          <w:tcPr>
            <w:tcW w:w="566" w:type="dxa"/>
            <w:shd w:val="clear" w:color="auto" w:fill="auto"/>
          </w:tcPr>
          <w:p w:rsidR="000E5957" w:rsidRDefault="000E5957" w:rsidP="00265C50">
            <w:pPr>
              <w:pStyle w:val="Betarp"/>
              <w:jc w:val="center"/>
              <w:rPr>
                <w:rFonts w:ascii="Times New Roman" w:hAnsi="Times New Roman"/>
                <w:b/>
                <w:sz w:val="24"/>
                <w:szCs w:val="24"/>
                <w:lang w:val="lt-LT"/>
              </w:rPr>
            </w:pPr>
            <w:r>
              <w:rPr>
                <w:rFonts w:ascii="Times New Roman" w:hAnsi="Times New Roman"/>
                <w:b/>
                <w:sz w:val="24"/>
                <w:szCs w:val="24"/>
                <w:lang w:val="lt-LT"/>
              </w:rPr>
              <w:t>39</w:t>
            </w:r>
          </w:p>
        </w:tc>
        <w:tc>
          <w:tcPr>
            <w:tcW w:w="592" w:type="dxa"/>
          </w:tcPr>
          <w:p w:rsidR="000E5957" w:rsidRDefault="000E5957" w:rsidP="00265C50">
            <w:pPr>
              <w:pStyle w:val="Betarp"/>
              <w:jc w:val="center"/>
              <w:rPr>
                <w:rFonts w:ascii="Times New Roman" w:hAnsi="Times New Roman"/>
                <w:b/>
                <w:sz w:val="24"/>
                <w:szCs w:val="24"/>
                <w:lang w:val="lt-LT"/>
              </w:rPr>
            </w:pPr>
            <w:r>
              <w:rPr>
                <w:rFonts w:ascii="Times New Roman" w:hAnsi="Times New Roman"/>
                <w:b/>
                <w:sz w:val="24"/>
                <w:szCs w:val="24"/>
                <w:lang w:val="lt-LT"/>
              </w:rPr>
              <w:t>33</w:t>
            </w:r>
          </w:p>
        </w:tc>
        <w:tc>
          <w:tcPr>
            <w:tcW w:w="726" w:type="dxa"/>
            <w:shd w:val="clear" w:color="auto" w:fill="FFFF00"/>
          </w:tcPr>
          <w:p w:rsidR="000E5957" w:rsidRDefault="000E5957" w:rsidP="00265C50">
            <w:pPr>
              <w:pStyle w:val="Betarp"/>
              <w:jc w:val="center"/>
              <w:rPr>
                <w:rFonts w:ascii="Times New Roman" w:hAnsi="Times New Roman"/>
                <w:b/>
                <w:sz w:val="24"/>
                <w:szCs w:val="24"/>
                <w:lang w:val="lt-LT"/>
              </w:rPr>
            </w:pPr>
            <w:r>
              <w:rPr>
                <w:rFonts w:ascii="Times New Roman" w:hAnsi="Times New Roman"/>
                <w:b/>
                <w:sz w:val="24"/>
                <w:szCs w:val="24"/>
                <w:lang w:val="lt-LT"/>
              </w:rPr>
              <w:t>128</w:t>
            </w:r>
          </w:p>
        </w:tc>
        <w:tc>
          <w:tcPr>
            <w:tcW w:w="585" w:type="dxa"/>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49</w:t>
            </w:r>
          </w:p>
        </w:tc>
        <w:tc>
          <w:tcPr>
            <w:tcW w:w="567" w:type="dxa"/>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45</w:t>
            </w:r>
          </w:p>
        </w:tc>
        <w:tc>
          <w:tcPr>
            <w:tcW w:w="585" w:type="dxa"/>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52</w:t>
            </w:r>
          </w:p>
        </w:tc>
        <w:tc>
          <w:tcPr>
            <w:tcW w:w="726" w:type="dxa"/>
            <w:shd w:val="clear" w:color="auto" w:fill="FFFF00"/>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146</w:t>
            </w:r>
          </w:p>
        </w:tc>
        <w:tc>
          <w:tcPr>
            <w:tcW w:w="837" w:type="dxa"/>
            <w:shd w:val="clear" w:color="auto" w:fill="8DB3E2"/>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274</w:t>
            </w:r>
          </w:p>
        </w:tc>
        <w:tc>
          <w:tcPr>
            <w:tcW w:w="642" w:type="dxa"/>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67</w:t>
            </w:r>
          </w:p>
        </w:tc>
        <w:tc>
          <w:tcPr>
            <w:tcW w:w="698" w:type="dxa"/>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62</w:t>
            </w:r>
          </w:p>
        </w:tc>
        <w:tc>
          <w:tcPr>
            <w:tcW w:w="585" w:type="dxa"/>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54</w:t>
            </w:r>
          </w:p>
        </w:tc>
        <w:tc>
          <w:tcPr>
            <w:tcW w:w="716" w:type="dxa"/>
            <w:shd w:val="clear" w:color="auto" w:fill="FFFF00"/>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183</w:t>
            </w:r>
          </w:p>
        </w:tc>
        <w:tc>
          <w:tcPr>
            <w:tcW w:w="561" w:type="dxa"/>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42</w:t>
            </w:r>
          </w:p>
        </w:tc>
        <w:tc>
          <w:tcPr>
            <w:tcW w:w="576" w:type="dxa"/>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41</w:t>
            </w:r>
          </w:p>
        </w:tc>
        <w:tc>
          <w:tcPr>
            <w:tcW w:w="629" w:type="dxa"/>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31</w:t>
            </w:r>
          </w:p>
        </w:tc>
        <w:tc>
          <w:tcPr>
            <w:tcW w:w="716" w:type="dxa"/>
            <w:shd w:val="clear" w:color="auto" w:fill="FFFF00"/>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114</w:t>
            </w:r>
          </w:p>
        </w:tc>
        <w:tc>
          <w:tcPr>
            <w:tcW w:w="837" w:type="dxa"/>
            <w:shd w:val="clear" w:color="auto" w:fill="8DB3E2"/>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297</w:t>
            </w:r>
          </w:p>
        </w:tc>
        <w:tc>
          <w:tcPr>
            <w:tcW w:w="653" w:type="dxa"/>
            <w:shd w:val="clear" w:color="auto" w:fill="FF0000"/>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571</w:t>
            </w:r>
          </w:p>
        </w:tc>
      </w:tr>
      <w:tr w:rsidR="000E5957" w:rsidRPr="000B5474" w:rsidTr="00D34B7A">
        <w:tc>
          <w:tcPr>
            <w:tcW w:w="816" w:type="dxa"/>
            <w:shd w:val="clear" w:color="auto" w:fill="BFBFBF"/>
          </w:tcPr>
          <w:p w:rsidR="000E5957" w:rsidRDefault="000E5957" w:rsidP="00265C50">
            <w:pPr>
              <w:pStyle w:val="Betarp"/>
              <w:jc w:val="center"/>
              <w:rPr>
                <w:rFonts w:ascii="Times New Roman" w:hAnsi="Times New Roman"/>
                <w:b/>
                <w:sz w:val="24"/>
                <w:szCs w:val="24"/>
                <w:lang w:val="lt-LT"/>
              </w:rPr>
            </w:pPr>
            <w:r>
              <w:rPr>
                <w:rFonts w:ascii="Times New Roman" w:hAnsi="Times New Roman"/>
                <w:b/>
                <w:sz w:val="24"/>
                <w:szCs w:val="24"/>
                <w:lang w:val="lt-LT"/>
              </w:rPr>
              <w:t>2013 m.</w:t>
            </w:r>
          </w:p>
        </w:tc>
        <w:tc>
          <w:tcPr>
            <w:tcW w:w="563" w:type="dxa"/>
            <w:shd w:val="clear" w:color="auto" w:fill="auto"/>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62</w:t>
            </w:r>
          </w:p>
        </w:tc>
        <w:tc>
          <w:tcPr>
            <w:tcW w:w="566" w:type="dxa"/>
            <w:shd w:val="clear" w:color="auto" w:fill="auto"/>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59</w:t>
            </w:r>
          </w:p>
        </w:tc>
        <w:tc>
          <w:tcPr>
            <w:tcW w:w="592" w:type="dxa"/>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41</w:t>
            </w:r>
          </w:p>
        </w:tc>
        <w:tc>
          <w:tcPr>
            <w:tcW w:w="726" w:type="dxa"/>
            <w:shd w:val="clear" w:color="auto" w:fill="FFFF00"/>
          </w:tcPr>
          <w:p w:rsidR="000E5957" w:rsidRDefault="000E5957" w:rsidP="00F460D6">
            <w:pPr>
              <w:pStyle w:val="Betarp"/>
              <w:jc w:val="center"/>
              <w:rPr>
                <w:rFonts w:ascii="Times New Roman" w:hAnsi="Times New Roman"/>
                <w:b/>
                <w:sz w:val="24"/>
                <w:szCs w:val="24"/>
                <w:lang w:val="lt-LT"/>
              </w:rPr>
            </w:pPr>
            <w:r>
              <w:rPr>
                <w:rFonts w:ascii="Times New Roman" w:hAnsi="Times New Roman"/>
                <w:b/>
                <w:sz w:val="24"/>
                <w:szCs w:val="24"/>
                <w:lang w:val="lt-LT"/>
              </w:rPr>
              <w:t>162</w:t>
            </w:r>
          </w:p>
        </w:tc>
        <w:tc>
          <w:tcPr>
            <w:tcW w:w="585" w:type="dxa"/>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33</w:t>
            </w:r>
          </w:p>
        </w:tc>
        <w:tc>
          <w:tcPr>
            <w:tcW w:w="567" w:type="dxa"/>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57</w:t>
            </w:r>
          </w:p>
        </w:tc>
        <w:tc>
          <w:tcPr>
            <w:tcW w:w="585" w:type="dxa"/>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37</w:t>
            </w:r>
          </w:p>
        </w:tc>
        <w:tc>
          <w:tcPr>
            <w:tcW w:w="726" w:type="dxa"/>
            <w:shd w:val="clear" w:color="auto" w:fill="FFFF00"/>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127</w:t>
            </w:r>
          </w:p>
        </w:tc>
        <w:tc>
          <w:tcPr>
            <w:tcW w:w="837" w:type="dxa"/>
            <w:shd w:val="clear" w:color="auto" w:fill="8DB3E2"/>
          </w:tcPr>
          <w:p w:rsidR="000E5957" w:rsidRDefault="000E5957" w:rsidP="00E85A96">
            <w:pPr>
              <w:pStyle w:val="Betarp"/>
              <w:jc w:val="center"/>
              <w:rPr>
                <w:rFonts w:ascii="Times New Roman" w:hAnsi="Times New Roman"/>
                <w:b/>
                <w:sz w:val="24"/>
                <w:szCs w:val="24"/>
                <w:lang w:val="lt-LT"/>
              </w:rPr>
            </w:pPr>
            <w:r>
              <w:rPr>
                <w:rFonts w:ascii="Times New Roman" w:hAnsi="Times New Roman"/>
                <w:b/>
                <w:sz w:val="24"/>
                <w:szCs w:val="24"/>
                <w:lang w:val="lt-LT"/>
              </w:rPr>
              <w:t>289</w:t>
            </w:r>
          </w:p>
        </w:tc>
        <w:tc>
          <w:tcPr>
            <w:tcW w:w="642" w:type="dxa"/>
          </w:tcPr>
          <w:p w:rsidR="000E5957" w:rsidRDefault="000E5957" w:rsidP="00F460D6">
            <w:pPr>
              <w:pStyle w:val="Betarp"/>
              <w:jc w:val="center"/>
              <w:rPr>
                <w:rFonts w:ascii="Times New Roman" w:hAnsi="Times New Roman"/>
                <w:b/>
                <w:sz w:val="24"/>
                <w:szCs w:val="24"/>
                <w:lang w:val="lt-LT"/>
              </w:rPr>
            </w:pPr>
          </w:p>
        </w:tc>
        <w:tc>
          <w:tcPr>
            <w:tcW w:w="698" w:type="dxa"/>
          </w:tcPr>
          <w:p w:rsidR="000E5957" w:rsidRDefault="000E5957" w:rsidP="00F460D6">
            <w:pPr>
              <w:pStyle w:val="Betarp"/>
              <w:jc w:val="center"/>
              <w:rPr>
                <w:rFonts w:ascii="Times New Roman" w:hAnsi="Times New Roman"/>
                <w:b/>
                <w:sz w:val="24"/>
                <w:szCs w:val="24"/>
                <w:lang w:val="lt-LT"/>
              </w:rPr>
            </w:pPr>
          </w:p>
        </w:tc>
        <w:tc>
          <w:tcPr>
            <w:tcW w:w="585" w:type="dxa"/>
          </w:tcPr>
          <w:p w:rsidR="000E5957" w:rsidRDefault="000E5957" w:rsidP="00F460D6">
            <w:pPr>
              <w:pStyle w:val="Betarp"/>
              <w:jc w:val="center"/>
              <w:rPr>
                <w:rFonts w:ascii="Times New Roman" w:hAnsi="Times New Roman"/>
                <w:b/>
                <w:sz w:val="24"/>
                <w:szCs w:val="24"/>
                <w:lang w:val="lt-LT"/>
              </w:rPr>
            </w:pPr>
          </w:p>
        </w:tc>
        <w:tc>
          <w:tcPr>
            <w:tcW w:w="716" w:type="dxa"/>
            <w:shd w:val="clear" w:color="auto" w:fill="FFFF00"/>
          </w:tcPr>
          <w:p w:rsidR="000E5957" w:rsidRDefault="000E5957" w:rsidP="00F460D6">
            <w:pPr>
              <w:pStyle w:val="Betarp"/>
              <w:jc w:val="center"/>
              <w:rPr>
                <w:rFonts w:ascii="Times New Roman" w:hAnsi="Times New Roman"/>
                <w:b/>
                <w:sz w:val="24"/>
                <w:szCs w:val="24"/>
                <w:lang w:val="lt-LT"/>
              </w:rPr>
            </w:pPr>
          </w:p>
        </w:tc>
        <w:tc>
          <w:tcPr>
            <w:tcW w:w="561" w:type="dxa"/>
          </w:tcPr>
          <w:p w:rsidR="000E5957" w:rsidRDefault="000E5957" w:rsidP="00F460D6">
            <w:pPr>
              <w:pStyle w:val="Betarp"/>
              <w:jc w:val="center"/>
              <w:rPr>
                <w:rFonts w:ascii="Times New Roman" w:hAnsi="Times New Roman"/>
                <w:b/>
                <w:sz w:val="24"/>
                <w:szCs w:val="24"/>
                <w:lang w:val="lt-LT"/>
              </w:rPr>
            </w:pPr>
          </w:p>
        </w:tc>
        <w:tc>
          <w:tcPr>
            <w:tcW w:w="576" w:type="dxa"/>
          </w:tcPr>
          <w:p w:rsidR="000E5957" w:rsidRDefault="000E5957" w:rsidP="00F460D6">
            <w:pPr>
              <w:pStyle w:val="Betarp"/>
              <w:jc w:val="center"/>
              <w:rPr>
                <w:rFonts w:ascii="Times New Roman" w:hAnsi="Times New Roman"/>
                <w:b/>
                <w:sz w:val="24"/>
                <w:szCs w:val="24"/>
                <w:lang w:val="lt-LT"/>
              </w:rPr>
            </w:pPr>
          </w:p>
        </w:tc>
        <w:tc>
          <w:tcPr>
            <w:tcW w:w="629" w:type="dxa"/>
          </w:tcPr>
          <w:p w:rsidR="000E5957" w:rsidRDefault="000E5957" w:rsidP="00F460D6">
            <w:pPr>
              <w:pStyle w:val="Betarp"/>
              <w:jc w:val="center"/>
              <w:rPr>
                <w:rFonts w:ascii="Times New Roman" w:hAnsi="Times New Roman"/>
                <w:b/>
                <w:sz w:val="24"/>
                <w:szCs w:val="24"/>
                <w:lang w:val="lt-LT"/>
              </w:rPr>
            </w:pPr>
          </w:p>
        </w:tc>
        <w:tc>
          <w:tcPr>
            <w:tcW w:w="716" w:type="dxa"/>
            <w:shd w:val="clear" w:color="auto" w:fill="FFFF00"/>
          </w:tcPr>
          <w:p w:rsidR="000E5957" w:rsidRDefault="000E5957" w:rsidP="00F460D6">
            <w:pPr>
              <w:pStyle w:val="Betarp"/>
              <w:jc w:val="center"/>
              <w:rPr>
                <w:rFonts w:ascii="Times New Roman" w:hAnsi="Times New Roman"/>
                <w:b/>
                <w:sz w:val="24"/>
                <w:szCs w:val="24"/>
                <w:lang w:val="lt-LT"/>
              </w:rPr>
            </w:pPr>
          </w:p>
        </w:tc>
        <w:tc>
          <w:tcPr>
            <w:tcW w:w="837" w:type="dxa"/>
            <w:shd w:val="clear" w:color="auto" w:fill="8DB3E2"/>
          </w:tcPr>
          <w:p w:rsidR="000E5957" w:rsidRDefault="000E5957" w:rsidP="00F460D6">
            <w:pPr>
              <w:pStyle w:val="Betarp"/>
              <w:jc w:val="center"/>
              <w:rPr>
                <w:rFonts w:ascii="Times New Roman" w:hAnsi="Times New Roman"/>
                <w:b/>
                <w:sz w:val="24"/>
                <w:szCs w:val="24"/>
                <w:lang w:val="lt-LT"/>
              </w:rPr>
            </w:pPr>
          </w:p>
        </w:tc>
        <w:tc>
          <w:tcPr>
            <w:tcW w:w="653" w:type="dxa"/>
            <w:shd w:val="clear" w:color="auto" w:fill="FF0000"/>
          </w:tcPr>
          <w:p w:rsidR="000E5957" w:rsidRDefault="000E5957" w:rsidP="00F460D6">
            <w:pPr>
              <w:pStyle w:val="Betarp"/>
              <w:jc w:val="center"/>
              <w:rPr>
                <w:rFonts w:ascii="Times New Roman" w:hAnsi="Times New Roman"/>
                <w:b/>
                <w:sz w:val="24"/>
                <w:szCs w:val="24"/>
                <w:lang w:val="lt-LT"/>
              </w:rPr>
            </w:pPr>
          </w:p>
        </w:tc>
      </w:tr>
    </w:tbl>
    <w:p w:rsidR="005B12FD" w:rsidRDefault="005B12FD"/>
    <w:sectPr w:rsidR="005B12FD" w:rsidSect="00C477E6">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6C" w:rsidRDefault="007A1B6C" w:rsidP="0068561B">
      <w:r>
        <w:separator/>
      </w:r>
    </w:p>
  </w:endnote>
  <w:endnote w:type="continuationSeparator" w:id="0">
    <w:p w:rsidR="007A1B6C" w:rsidRDefault="007A1B6C" w:rsidP="00685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6C" w:rsidRDefault="00C11FD4">
    <w:pPr>
      <w:pStyle w:val="Porat"/>
      <w:jc w:val="center"/>
    </w:pPr>
    <w:fldSimple w:instr=" PAGE   \* MERGEFORMAT ">
      <w:r w:rsidR="00DA0090">
        <w:rPr>
          <w:noProof/>
        </w:rPr>
        <w:t>3</w:t>
      </w:r>
    </w:fldSimple>
  </w:p>
  <w:p w:rsidR="007A1B6C" w:rsidRDefault="007A1B6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6C" w:rsidRDefault="007A1B6C" w:rsidP="0068561B">
      <w:r>
        <w:separator/>
      </w:r>
    </w:p>
  </w:footnote>
  <w:footnote w:type="continuationSeparator" w:id="0">
    <w:p w:rsidR="007A1B6C" w:rsidRDefault="007A1B6C" w:rsidP="00685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F2A"/>
    <w:multiLevelType w:val="hybridMultilevel"/>
    <w:tmpl w:val="877AF9D0"/>
    <w:lvl w:ilvl="0" w:tplc="7D4E9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760424"/>
    <w:multiLevelType w:val="hybridMultilevel"/>
    <w:tmpl w:val="07AA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0C1B0B"/>
    <w:multiLevelType w:val="hybridMultilevel"/>
    <w:tmpl w:val="74EE6408"/>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B44F4F"/>
    <w:multiLevelType w:val="hybridMultilevel"/>
    <w:tmpl w:val="3D8EE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C15AEB"/>
    <w:multiLevelType w:val="hybridMultilevel"/>
    <w:tmpl w:val="58DA3A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C477E6"/>
    <w:rsid w:val="000173F1"/>
    <w:rsid w:val="000311C3"/>
    <w:rsid w:val="00047826"/>
    <w:rsid w:val="000E5957"/>
    <w:rsid w:val="001006DC"/>
    <w:rsid w:val="001E2654"/>
    <w:rsid w:val="00265C50"/>
    <w:rsid w:val="002D2858"/>
    <w:rsid w:val="00441415"/>
    <w:rsid w:val="00446AEC"/>
    <w:rsid w:val="00537BD0"/>
    <w:rsid w:val="005840E9"/>
    <w:rsid w:val="005B12FD"/>
    <w:rsid w:val="005B398D"/>
    <w:rsid w:val="005E2061"/>
    <w:rsid w:val="00604C4F"/>
    <w:rsid w:val="0068561B"/>
    <w:rsid w:val="00697BD5"/>
    <w:rsid w:val="006E7B78"/>
    <w:rsid w:val="007A1B6C"/>
    <w:rsid w:val="007A48DF"/>
    <w:rsid w:val="00813D93"/>
    <w:rsid w:val="0081442A"/>
    <w:rsid w:val="00863AC1"/>
    <w:rsid w:val="00891996"/>
    <w:rsid w:val="008E54EA"/>
    <w:rsid w:val="00970EE9"/>
    <w:rsid w:val="00A45A9B"/>
    <w:rsid w:val="00A74896"/>
    <w:rsid w:val="00B36AB1"/>
    <w:rsid w:val="00C11FD4"/>
    <w:rsid w:val="00C16F89"/>
    <w:rsid w:val="00C477E6"/>
    <w:rsid w:val="00CB460A"/>
    <w:rsid w:val="00D34B7A"/>
    <w:rsid w:val="00D66CDC"/>
    <w:rsid w:val="00DA0090"/>
    <w:rsid w:val="00DD167A"/>
    <w:rsid w:val="00DD1A0C"/>
    <w:rsid w:val="00E461A5"/>
    <w:rsid w:val="00E766C0"/>
    <w:rsid w:val="00E85A96"/>
    <w:rsid w:val="00F460D6"/>
    <w:rsid w:val="00F954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77E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77E6"/>
    <w:pPr>
      <w:ind w:left="720"/>
      <w:contextualSpacing/>
    </w:pPr>
  </w:style>
  <w:style w:type="paragraph" w:styleId="Betarp">
    <w:name w:val="No Spacing"/>
    <w:uiPriority w:val="1"/>
    <w:qFormat/>
    <w:rsid w:val="00C477E6"/>
    <w:pPr>
      <w:spacing w:after="0" w:line="240" w:lineRule="auto"/>
    </w:pPr>
    <w:rPr>
      <w:rFonts w:ascii="Calibri" w:eastAsia="Calibri" w:hAnsi="Calibri" w:cs="Times New Roman"/>
      <w:lang w:val="en-US"/>
    </w:rPr>
  </w:style>
  <w:style w:type="paragraph" w:styleId="Porat">
    <w:name w:val="footer"/>
    <w:basedOn w:val="prastasis"/>
    <w:link w:val="PoratDiagrama"/>
    <w:uiPriority w:val="99"/>
    <w:unhideWhenUsed/>
    <w:rsid w:val="00C477E6"/>
    <w:pPr>
      <w:tabs>
        <w:tab w:val="center" w:pos="4986"/>
        <w:tab w:val="right" w:pos="9972"/>
      </w:tabs>
    </w:pPr>
  </w:style>
  <w:style w:type="character" w:customStyle="1" w:styleId="PoratDiagrama">
    <w:name w:val="Poraštė Diagrama"/>
    <w:basedOn w:val="Numatytasispastraiposriftas"/>
    <w:link w:val="Porat"/>
    <w:uiPriority w:val="99"/>
    <w:rsid w:val="00C477E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477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7E6"/>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DATA\Installer\info%20lentele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DATA\Installer\info%20lentele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sz="1600">
                <a:latin typeface="Times New Roman" pitchFamily="18" charset="0"/>
                <a:cs typeface="Times New Roman" pitchFamily="18" charset="0"/>
              </a:defRPr>
            </a:pPr>
            <a:r>
              <a:rPr lang="lt-LT" sz="1600">
                <a:latin typeface="Times New Roman" pitchFamily="18" charset="0"/>
                <a:cs typeface="Times New Roman" pitchFamily="18" charset="0"/>
              </a:rPr>
              <a:t>1</a:t>
            </a:r>
            <a:r>
              <a:rPr lang="lt-LT" sz="1600" baseline="0">
                <a:latin typeface="Times New Roman" pitchFamily="18" charset="0"/>
                <a:cs typeface="Times New Roman" pitchFamily="18" charset="0"/>
              </a:rPr>
              <a:t> pav. Gautų prašymų (skundų) </a:t>
            </a:r>
            <a:r>
              <a:rPr lang="lt-LT" sz="1600" baseline="0">
                <a:solidFill>
                  <a:sysClr val="windowText" lastClr="000000"/>
                </a:solidFill>
                <a:latin typeface="Times New Roman" pitchFamily="18" charset="0"/>
                <a:cs typeface="Times New Roman" pitchFamily="18" charset="0"/>
              </a:rPr>
              <a:t>pasiskirstymas pagal </a:t>
            </a:r>
          </a:p>
          <a:p>
            <a:pPr>
              <a:defRPr sz="1600">
                <a:latin typeface="Times New Roman" pitchFamily="18" charset="0"/>
                <a:cs typeface="Times New Roman" pitchFamily="18" charset="0"/>
              </a:defRPr>
            </a:pPr>
            <a:r>
              <a:rPr lang="lt-LT" sz="1600" baseline="0">
                <a:latin typeface="Times New Roman" pitchFamily="18" charset="0"/>
                <a:cs typeface="Times New Roman" pitchFamily="18" charset="0"/>
              </a:rPr>
              <a:t>ketvirčius (2005 m. III ketv. - 2013 m. II ketv.)</a:t>
            </a:r>
            <a:endParaRPr lang="en-US" sz="1600">
              <a:latin typeface="Times New Roman" pitchFamily="18" charset="0"/>
              <a:cs typeface="Times New Roman" pitchFamily="18" charset="0"/>
            </a:endParaRPr>
          </a:p>
        </c:rich>
      </c:tx>
      <c:layout>
        <c:manualLayout>
          <c:xMode val="edge"/>
          <c:yMode val="edge"/>
          <c:x val="0.10451032100797375"/>
          <c:y val="9.0102649752169268E-3"/>
        </c:manualLayout>
      </c:layout>
    </c:title>
    <c:plotArea>
      <c:layout>
        <c:manualLayout>
          <c:layoutTarget val="inner"/>
          <c:xMode val="edge"/>
          <c:yMode val="edge"/>
          <c:x val="6.6212175091016887E-2"/>
          <c:y val="0.14506691354966544"/>
          <c:w val="0.79380157480314961"/>
          <c:h val="0.74210114588211729"/>
        </c:manualLayout>
      </c:layout>
      <c:barChart>
        <c:barDir val="col"/>
        <c:grouping val="clustered"/>
        <c:ser>
          <c:idx val="0"/>
          <c:order val="0"/>
          <c:tx>
            <c:strRef>
              <c:f>Sheet1!$B$10</c:f>
              <c:strCache>
                <c:ptCount val="1"/>
                <c:pt idx="0">
                  <c:v>I ketvirtis</c:v>
                </c:pt>
              </c:strCache>
            </c:strRef>
          </c:tx>
          <c:dLbls>
            <c:showVal val="1"/>
          </c:dLbls>
          <c:cat>
            <c:strRef>
              <c:f>Sheet1!$A$11:$A$19</c:f>
              <c:strCache>
                <c:ptCount val="9"/>
                <c:pt idx="0">
                  <c:v>2005 m. II pusm.             </c:v>
                </c:pt>
                <c:pt idx="1">
                  <c:v>2006 m.             </c:v>
                </c:pt>
                <c:pt idx="2">
                  <c:v>2007 m.              </c:v>
                </c:pt>
                <c:pt idx="3">
                  <c:v>2008 m.          </c:v>
                </c:pt>
                <c:pt idx="4">
                  <c:v>2009 m.          </c:v>
                </c:pt>
                <c:pt idx="5">
                  <c:v>2010 m.             </c:v>
                </c:pt>
                <c:pt idx="6">
                  <c:v>2011 m.</c:v>
                </c:pt>
                <c:pt idx="7">
                  <c:v>2012 m.</c:v>
                </c:pt>
                <c:pt idx="8">
                  <c:v>2013 m.</c:v>
                </c:pt>
              </c:strCache>
            </c:strRef>
          </c:cat>
          <c:val>
            <c:numRef>
              <c:f>Sheet1!$B$11:$B$19</c:f>
              <c:numCache>
                <c:formatCode>General</c:formatCode>
                <c:ptCount val="9"/>
                <c:pt idx="1">
                  <c:v>78</c:v>
                </c:pt>
                <c:pt idx="2">
                  <c:v>45</c:v>
                </c:pt>
                <c:pt idx="3">
                  <c:v>67</c:v>
                </c:pt>
                <c:pt idx="4">
                  <c:v>67</c:v>
                </c:pt>
                <c:pt idx="5">
                  <c:v>154</c:v>
                </c:pt>
                <c:pt idx="6">
                  <c:v>182</c:v>
                </c:pt>
                <c:pt idx="7">
                  <c:v>128</c:v>
                </c:pt>
                <c:pt idx="8">
                  <c:v>162</c:v>
                </c:pt>
              </c:numCache>
            </c:numRef>
          </c:val>
        </c:ser>
        <c:ser>
          <c:idx val="1"/>
          <c:order val="1"/>
          <c:tx>
            <c:strRef>
              <c:f>Sheet1!$C$10</c:f>
              <c:strCache>
                <c:ptCount val="1"/>
                <c:pt idx="0">
                  <c:v>II ketvirtis</c:v>
                </c:pt>
              </c:strCache>
            </c:strRef>
          </c:tx>
          <c:dLbls>
            <c:showVal val="1"/>
          </c:dLbls>
          <c:cat>
            <c:strRef>
              <c:f>Sheet1!$A$11:$A$19</c:f>
              <c:strCache>
                <c:ptCount val="9"/>
                <c:pt idx="0">
                  <c:v>2005 m. II pusm.             </c:v>
                </c:pt>
                <c:pt idx="1">
                  <c:v>2006 m.             </c:v>
                </c:pt>
                <c:pt idx="2">
                  <c:v>2007 m.              </c:v>
                </c:pt>
                <c:pt idx="3">
                  <c:v>2008 m.          </c:v>
                </c:pt>
                <c:pt idx="4">
                  <c:v>2009 m.          </c:v>
                </c:pt>
                <c:pt idx="5">
                  <c:v>2010 m.             </c:v>
                </c:pt>
                <c:pt idx="6">
                  <c:v>2011 m.</c:v>
                </c:pt>
                <c:pt idx="7">
                  <c:v>2012 m.</c:v>
                </c:pt>
                <c:pt idx="8">
                  <c:v>2013 m.</c:v>
                </c:pt>
              </c:strCache>
            </c:strRef>
          </c:cat>
          <c:val>
            <c:numRef>
              <c:f>Sheet1!$C$11:$C$19</c:f>
              <c:numCache>
                <c:formatCode>General</c:formatCode>
                <c:ptCount val="9"/>
                <c:pt idx="1">
                  <c:v>76</c:v>
                </c:pt>
                <c:pt idx="2">
                  <c:v>36</c:v>
                </c:pt>
                <c:pt idx="3">
                  <c:v>60</c:v>
                </c:pt>
                <c:pt idx="4">
                  <c:v>63</c:v>
                </c:pt>
                <c:pt idx="5">
                  <c:v>101</c:v>
                </c:pt>
                <c:pt idx="6">
                  <c:v>171</c:v>
                </c:pt>
                <c:pt idx="7">
                  <c:v>146</c:v>
                </c:pt>
                <c:pt idx="8">
                  <c:v>127</c:v>
                </c:pt>
              </c:numCache>
            </c:numRef>
          </c:val>
        </c:ser>
        <c:ser>
          <c:idx val="2"/>
          <c:order val="2"/>
          <c:tx>
            <c:strRef>
              <c:f>Sheet1!$D$10</c:f>
              <c:strCache>
                <c:ptCount val="1"/>
                <c:pt idx="0">
                  <c:v>III ketvirtis</c:v>
                </c:pt>
              </c:strCache>
            </c:strRef>
          </c:tx>
          <c:dLbls>
            <c:showVal val="1"/>
          </c:dLbls>
          <c:cat>
            <c:strRef>
              <c:f>Sheet1!$A$11:$A$19</c:f>
              <c:strCache>
                <c:ptCount val="9"/>
                <c:pt idx="0">
                  <c:v>2005 m. II pusm.             </c:v>
                </c:pt>
                <c:pt idx="1">
                  <c:v>2006 m.             </c:v>
                </c:pt>
                <c:pt idx="2">
                  <c:v>2007 m.              </c:v>
                </c:pt>
                <c:pt idx="3">
                  <c:v>2008 m.          </c:v>
                </c:pt>
                <c:pt idx="4">
                  <c:v>2009 m.          </c:v>
                </c:pt>
                <c:pt idx="5">
                  <c:v>2010 m.             </c:v>
                </c:pt>
                <c:pt idx="6">
                  <c:v>2011 m.</c:v>
                </c:pt>
                <c:pt idx="7">
                  <c:v>2012 m.</c:v>
                </c:pt>
                <c:pt idx="8">
                  <c:v>2013 m.</c:v>
                </c:pt>
              </c:strCache>
            </c:strRef>
          </c:cat>
          <c:val>
            <c:numRef>
              <c:f>Sheet1!$D$11:$D$19</c:f>
              <c:numCache>
                <c:formatCode>General</c:formatCode>
                <c:ptCount val="9"/>
                <c:pt idx="0">
                  <c:v>26</c:v>
                </c:pt>
                <c:pt idx="1">
                  <c:v>66</c:v>
                </c:pt>
                <c:pt idx="2">
                  <c:v>46</c:v>
                </c:pt>
                <c:pt idx="3">
                  <c:v>29</c:v>
                </c:pt>
                <c:pt idx="4">
                  <c:v>60</c:v>
                </c:pt>
                <c:pt idx="5">
                  <c:v>132</c:v>
                </c:pt>
                <c:pt idx="6">
                  <c:v>143</c:v>
                </c:pt>
                <c:pt idx="7">
                  <c:v>183</c:v>
                </c:pt>
              </c:numCache>
            </c:numRef>
          </c:val>
        </c:ser>
        <c:ser>
          <c:idx val="3"/>
          <c:order val="3"/>
          <c:tx>
            <c:strRef>
              <c:f>Sheet1!$E$10</c:f>
              <c:strCache>
                <c:ptCount val="1"/>
                <c:pt idx="0">
                  <c:v>IV ketvirtis</c:v>
                </c:pt>
              </c:strCache>
            </c:strRef>
          </c:tx>
          <c:dLbls>
            <c:showVal val="1"/>
          </c:dLbls>
          <c:cat>
            <c:strRef>
              <c:f>Sheet1!$A$11:$A$19</c:f>
              <c:strCache>
                <c:ptCount val="9"/>
                <c:pt idx="0">
                  <c:v>2005 m. II pusm.             </c:v>
                </c:pt>
                <c:pt idx="1">
                  <c:v>2006 m.             </c:v>
                </c:pt>
                <c:pt idx="2">
                  <c:v>2007 m.              </c:v>
                </c:pt>
                <c:pt idx="3">
                  <c:v>2008 m.          </c:v>
                </c:pt>
                <c:pt idx="4">
                  <c:v>2009 m.          </c:v>
                </c:pt>
                <c:pt idx="5">
                  <c:v>2010 m.             </c:v>
                </c:pt>
                <c:pt idx="6">
                  <c:v>2011 m.</c:v>
                </c:pt>
                <c:pt idx="7">
                  <c:v>2012 m.</c:v>
                </c:pt>
                <c:pt idx="8">
                  <c:v>2013 m.</c:v>
                </c:pt>
              </c:strCache>
            </c:strRef>
          </c:cat>
          <c:val>
            <c:numRef>
              <c:f>Sheet1!$E$11:$E$19</c:f>
              <c:numCache>
                <c:formatCode>General</c:formatCode>
                <c:ptCount val="9"/>
                <c:pt idx="0">
                  <c:v>45</c:v>
                </c:pt>
                <c:pt idx="1">
                  <c:v>30</c:v>
                </c:pt>
                <c:pt idx="2">
                  <c:v>61</c:v>
                </c:pt>
                <c:pt idx="3">
                  <c:v>38</c:v>
                </c:pt>
                <c:pt idx="4">
                  <c:v>124</c:v>
                </c:pt>
                <c:pt idx="5">
                  <c:v>153</c:v>
                </c:pt>
                <c:pt idx="6">
                  <c:v>129</c:v>
                </c:pt>
                <c:pt idx="7">
                  <c:v>114</c:v>
                </c:pt>
              </c:numCache>
            </c:numRef>
          </c:val>
        </c:ser>
        <c:axId val="64500096"/>
        <c:axId val="64501632"/>
      </c:barChart>
      <c:catAx>
        <c:axId val="64500096"/>
        <c:scaling>
          <c:orientation val="minMax"/>
        </c:scaling>
        <c:axPos val="b"/>
        <c:majorTickMark val="none"/>
        <c:tickLblPos val="nextTo"/>
        <c:txPr>
          <a:bodyPr/>
          <a:lstStyle/>
          <a:p>
            <a:pPr>
              <a:defRPr sz="1050">
                <a:latin typeface="Times New Roman" pitchFamily="18" charset="0"/>
                <a:cs typeface="Times New Roman" pitchFamily="18" charset="0"/>
              </a:defRPr>
            </a:pPr>
            <a:endParaRPr lang="lt-LT"/>
          </a:p>
        </c:txPr>
        <c:crossAx val="64501632"/>
        <c:crosses val="autoZero"/>
        <c:auto val="1"/>
        <c:lblAlgn val="ctr"/>
        <c:lblOffset val="100"/>
      </c:catAx>
      <c:valAx>
        <c:axId val="64501632"/>
        <c:scaling>
          <c:orientation val="minMax"/>
        </c:scaling>
        <c:axPos val="l"/>
        <c:majorGridlines/>
        <c:numFmt formatCode="General" sourceLinked="1"/>
        <c:majorTickMark val="none"/>
        <c:tickLblPos val="nextTo"/>
        <c:crossAx val="64500096"/>
        <c:crosses val="autoZero"/>
        <c:crossBetween val="between"/>
      </c:valAx>
    </c:plotArea>
    <c:legend>
      <c:legendPos val="r"/>
      <c:layout/>
      <c:txPr>
        <a:bodyPr/>
        <a:lstStyle/>
        <a:p>
          <a:pPr>
            <a:defRPr sz="1100">
              <a:latin typeface="Times New Roman" pitchFamily="18" charset="0"/>
              <a:cs typeface="Times New Roman" pitchFamily="18" charset="0"/>
            </a:defRPr>
          </a:pPr>
          <a:endParaRPr lang="lt-LT"/>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lt-LT"/>
  <c:chart>
    <c:title>
      <c:tx>
        <c:rich>
          <a:bodyPr/>
          <a:lstStyle/>
          <a:p>
            <a:pPr>
              <a:defRPr/>
            </a:pPr>
            <a:r>
              <a:rPr lang="lt-LT" sz="1600">
                <a:latin typeface="Times New Roman" pitchFamily="18" charset="0"/>
                <a:cs typeface="Times New Roman" pitchFamily="18" charset="0"/>
              </a:rPr>
              <a:t>2 pav. Gautų prašymų (skundų)</a:t>
            </a:r>
            <a:r>
              <a:rPr lang="lt-LT" sz="1600" baseline="0">
                <a:latin typeface="Times New Roman" pitchFamily="18" charset="0"/>
                <a:cs typeface="Times New Roman" pitchFamily="18" charset="0"/>
              </a:rPr>
              <a:t> pasiskirstymas pagal pusmečius (2005 m. II pusm. - 2013 m. I pusm.)</a:t>
            </a:r>
            <a:endParaRPr lang="en-US" sz="1600">
              <a:latin typeface="Times New Roman" pitchFamily="18" charset="0"/>
              <a:cs typeface="Times New Roman" pitchFamily="18" charset="0"/>
            </a:endParaRPr>
          </a:p>
        </c:rich>
      </c:tx>
      <c:layout>
        <c:manualLayout>
          <c:xMode val="edge"/>
          <c:yMode val="edge"/>
          <c:x val="0.16143909839618611"/>
          <c:y val="2.3756490362019867E-2"/>
        </c:manualLayout>
      </c:layout>
    </c:title>
    <c:plotArea>
      <c:layout/>
      <c:barChart>
        <c:barDir val="col"/>
        <c:grouping val="clustered"/>
        <c:ser>
          <c:idx val="0"/>
          <c:order val="0"/>
          <c:tx>
            <c:strRef>
              <c:f>Sheet1!$I$1</c:f>
              <c:strCache>
                <c:ptCount val="1"/>
                <c:pt idx="0">
                  <c:v>I pusm.</c:v>
                </c:pt>
              </c:strCache>
            </c:strRef>
          </c:tx>
          <c:dLbls>
            <c:showVal val="1"/>
          </c:dLbls>
          <c:cat>
            <c:strRef>
              <c:f>Sheet1!$H$2:$H$10</c:f>
              <c:strCache>
                <c:ptCount val="9"/>
                <c:pt idx="0">
                  <c:v>2005 m.</c:v>
                </c:pt>
                <c:pt idx="1">
                  <c:v>2006 m. </c:v>
                </c:pt>
                <c:pt idx="2">
                  <c:v>2007 m.</c:v>
                </c:pt>
                <c:pt idx="3">
                  <c:v>2008 m. </c:v>
                </c:pt>
                <c:pt idx="4">
                  <c:v>2009 m.</c:v>
                </c:pt>
                <c:pt idx="5">
                  <c:v>2010 m.</c:v>
                </c:pt>
                <c:pt idx="6">
                  <c:v>2011 m. </c:v>
                </c:pt>
                <c:pt idx="7">
                  <c:v>2012 m.</c:v>
                </c:pt>
                <c:pt idx="8">
                  <c:v>2013 m. </c:v>
                </c:pt>
              </c:strCache>
            </c:strRef>
          </c:cat>
          <c:val>
            <c:numRef>
              <c:f>Sheet1!$I$2:$I$10</c:f>
              <c:numCache>
                <c:formatCode>General</c:formatCode>
                <c:ptCount val="9"/>
                <c:pt idx="1">
                  <c:v>154</c:v>
                </c:pt>
                <c:pt idx="2">
                  <c:v>81</c:v>
                </c:pt>
                <c:pt idx="3">
                  <c:v>127</c:v>
                </c:pt>
                <c:pt idx="4">
                  <c:v>130</c:v>
                </c:pt>
                <c:pt idx="5">
                  <c:v>255</c:v>
                </c:pt>
                <c:pt idx="6">
                  <c:v>353</c:v>
                </c:pt>
                <c:pt idx="7">
                  <c:v>274</c:v>
                </c:pt>
                <c:pt idx="8">
                  <c:v>289</c:v>
                </c:pt>
              </c:numCache>
            </c:numRef>
          </c:val>
        </c:ser>
        <c:ser>
          <c:idx val="1"/>
          <c:order val="1"/>
          <c:tx>
            <c:strRef>
              <c:f>Sheet1!$J$1</c:f>
              <c:strCache>
                <c:ptCount val="1"/>
                <c:pt idx="0">
                  <c:v>II pusm.</c:v>
                </c:pt>
              </c:strCache>
            </c:strRef>
          </c:tx>
          <c:dLbls>
            <c:showVal val="1"/>
          </c:dLbls>
          <c:cat>
            <c:strRef>
              <c:f>Sheet1!$H$2:$H$10</c:f>
              <c:strCache>
                <c:ptCount val="9"/>
                <c:pt idx="0">
                  <c:v>2005 m.</c:v>
                </c:pt>
                <c:pt idx="1">
                  <c:v>2006 m. </c:v>
                </c:pt>
                <c:pt idx="2">
                  <c:v>2007 m.</c:v>
                </c:pt>
                <c:pt idx="3">
                  <c:v>2008 m. </c:v>
                </c:pt>
                <c:pt idx="4">
                  <c:v>2009 m.</c:v>
                </c:pt>
                <c:pt idx="5">
                  <c:v>2010 m.</c:v>
                </c:pt>
                <c:pt idx="6">
                  <c:v>2011 m. </c:v>
                </c:pt>
                <c:pt idx="7">
                  <c:v>2012 m.</c:v>
                </c:pt>
                <c:pt idx="8">
                  <c:v>2013 m. </c:v>
                </c:pt>
              </c:strCache>
            </c:strRef>
          </c:cat>
          <c:val>
            <c:numRef>
              <c:f>Sheet1!$J$2:$J$10</c:f>
              <c:numCache>
                <c:formatCode>General</c:formatCode>
                <c:ptCount val="9"/>
                <c:pt idx="0">
                  <c:v>71</c:v>
                </c:pt>
                <c:pt idx="1">
                  <c:v>96</c:v>
                </c:pt>
                <c:pt idx="2">
                  <c:v>107</c:v>
                </c:pt>
                <c:pt idx="3">
                  <c:v>67</c:v>
                </c:pt>
                <c:pt idx="4">
                  <c:v>184</c:v>
                </c:pt>
                <c:pt idx="5">
                  <c:v>285</c:v>
                </c:pt>
                <c:pt idx="6">
                  <c:v>272</c:v>
                </c:pt>
                <c:pt idx="7">
                  <c:v>297</c:v>
                </c:pt>
              </c:numCache>
            </c:numRef>
          </c:val>
        </c:ser>
        <c:axId val="64523648"/>
        <c:axId val="63820928"/>
      </c:barChart>
      <c:catAx>
        <c:axId val="64523648"/>
        <c:scaling>
          <c:orientation val="minMax"/>
        </c:scaling>
        <c:axPos val="b"/>
        <c:majorTickMark val="none"/>
        <c:tickLblPos val="nextTo"/>
        <c:crossAx val="63820928"/>
        <c:crosses val="autoZero"/>
        <c:auto val="1"/>
        <c:lblAlgn val="ctr"/>
        <c:lblOffset val="100"/>
      </c:catAx>
      <c:valAx>
        <c:axId val="63820928"/>
        <c:scaling>
          <c:orientation val="minMax"/>
        </c:scaling>
        <c:axPos val="l"/>
        <c:majorGridlines/>
        <c:numFmt formatCode="General" sourceLinked="1"/>
        <c:majorTickMark val="none"/>
        <c:tickLblPos val="nextTo"/>
        <c:crossAx val="64523648"/>
        <c:crosses val="autoZero"/>
        <c:crossBetween val="between"/>
      </c:valAx>
    </c:plotArea>
    <c:legend>
      <c:legendPos val="r"/>
      <c:layout/>
      <c:txPr>
        <a:bodyPr/>
        <a:lstStyle/>
        <a:p>
          <a:pPr>
            <a:defRPr sz="1100">
              <a:latin typeface="Times New Roman" pitchFamily="18" charset="0"/>
              <a:cs typeface="Times New Roman" pitchFamily="18" charset="0"/>
            </a:defRPr>
          </a:pPr>
          <a:endParaRPr lang="lt-LT"/>
        </a:p>
      </c:txP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2647</Words>
  <Characters>1509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alancinskiene</dc:creator>
  <cp:lastModifiedBy>Justina Palionytė</cp:lastModifiedBy>
  <cp:revision>6</cp:revision>
  <cp:lastPrinted>2013-07-03T07:22:00Z</cp:lastPrinted>
  <dcterms:created xsi:type="dcterms:W3CDTF">2013-07-02T07:29:00Z</dcterms:created>
  <dcterms:modified xsi:type="dcterms:W3CDTF">2013-07-16T13:14:00Z</dcterms:modified>
</cp:coreProperties>
</file>