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EDB" w:rsidRDefault="00252EDB" w:rsidP="00252EDB">
      <w:pPr>
        <w:jc w:val="right"/>
        <w:rPr>
          <w:color w:val="000000"/>
          <w:lang w:val="lt-LT"/>
        </w:rPr>
      </w:pPr>
      <w:r>
        <w:rPr>
          <w:color w:val="000000"/>
          <w:lang w:val="lt-LT"/>
        </w:rPr>
        <w:t>PATVIRTINTA</w:t>
      </w:r>
    </w:p>
    <w:p w:rsidR="00252EDB" w:rsidRDefault="00252EDB" w:rsidP="00252EDB">
      <w:pPr>
        <w:jc w:val="right"/>
        <w:rPr>
          <w:color w:val="000000"/>
          <w:lang w:val="lt-LT"/>
        </w:rPr>
      </w:pPr>
      <w:r>
        <w:rPr>
          <w:color w:val="000000"/>
          <w:lang w:val="lt-LT"/>
        </w:rPr>
        <w:t>Ginčų komisijos pirmininko</w:t>
      </w:r>
    </w:p>
    <w:p w:rsidR="00252EDB" w:rsidRPr="00252EDB" w:rsidRDefault="00252EDB" w:rsidP="00252EDB">
      <w:pPr>
        <w:jc w:val="right"/>
        <w:rPr>
          <w:color w:val="000000"/>
          <w:lang w:val="lt-LT"/>
        </w:rPr>
      </w:pPr>
      <w:r>
        <w:rPr>
          <w:color w:val="000000"/>
          <w:lang w:val="lt-LT"/>
        </w:rPr>
        <w:t>2011 m. kovo 14 d. įsakymu Nr. AV-5.1.</w:t>
      </w:r>
    </w:p>
    <w:p w:rsidR="00252EDB" w:rsidRDefault="00252EDB" w:rsidP="00252EDB">
      <w:pPr>
        <w:jc w:val="right"/>
        <w:rPr>
          <w:b/>
          <w:color w:val="000000"/>
          <w:lang w:val="lt-LT"/>
        </w:rPr>
      </w:pPr>
    </w:p>
    <w:p w:rsidR="00252EDB" w:rsidRDefault="00252EDB" w:rsidP="00252EDB">
      <w:pPr>
        <w:jc w:val="right"/>
        <w:rPr>
          <w:b/>
          <w:color w:val="000000"/>
          <w:lang w:val="lt-LT"/>
        </w:rPr>
      </w:pPr>
    </w:p>
    <w:p w:rsidR="00252EDB" w:rsidRDefault="00252EDB" w:rsidP="00252EDB">
      <w:pPr>
        <w:jc w:val="right"/>
        <w:rPr>
          <w:b/>
          <w:color w:val="000000"/>
          <w:lang w:val="lt-LT"/>
        </w:rPr>
      </w:pPr>
    </w:p>
    <w:p w:rsidR="00252EDB" w:rsidRDefault="00252EDB" w:rsidP="00252EDB">
      <w:pPr>
        <w:jc w:val="center"/>
        <w:rPr>
          <w:b/>
          <w:color w:val="000000"/>
          <w:lang w:val="lt-LT"/>
        </w:rPr>
      </w:pPr>
      <w:r>
        <w:rPr>
          <w:b/>
          <w:color w:val="000000"/>
          <w:lang w:val="lt-LT"/>
        </w:rPr>
        <w:t>GINČŲ KOMISIJOS PRIE SOCIALINĖS APSAUGOS IR DARBO MINISTERIJOS ANTIKORUPCINĖS</w:t>
      </w:r>
    </w:p>
    <w:p w:rsidR="00252EDB" w:rsidRDefault="00252EDB" w:rsidP="00252EDB">
      <w:pPr>
        <w:jc w:val="center"/>
        <w:rPr>
          <w:b/>
          <w:color w:val="000000"/>
          <w:lang w:val="lt-LT"/>
        </w:rPr>
      </w:pPr>
      <w:r>
        <w:rPr>
          <w:b/>
          <w:color w:val="000000"/>
          <w:lang w:val="lt-LT"/>
        </w:rPr>
        <w:t>PROGRAMOS 2011 – 2012 METŲ PRIEMONIŲ PLANAS</w:t>
      </w:r>
    </w:p>
    <w:p w:rsidR="0049009A" w:rsidRDefault="0049009A" w:rsidP="00252EDB">
      <w:pPr>
        <w:jc w:val="center"/>
        <w:rPr>
          <w:b/>
          <w:color w:val="000000"/>
          <w:lang w:val="lt-LT"/>
        </w:rPr>
      </w:pPr>
    </w:p>
    <w:p w:rsidR="00252EDB" w:rsidRDefault="00252EDB" w:rsidP="00252EDB">
      <w:pPr>
        <w:jc w:val="center"/>
        <w:rPr>
          <w:b/>
          <w:color w:val="000000"/>
          <w:lang w:val="lt-LT"/>
        </w:rPr>
      </w:pPr>
    </w:p>
    <w:tbl>
      <w:tblPr>
        <w:tblStyle w:val="Lentelstinklelis"/>
        <w:tblW w:w="9747" w:type="dxa"/>
        <w:tblLayout w:type="fixed"/>
        <w:tblLook w:val="04A0"/>
      </w:tblPr>
      <w:tblGrid>
        <w:gridCol w:w="1526"/>
        <w:gridCol w:w="1843"/>
        <w:gridCol w:w="1701"/>
        <w:gridCol w:w="1842"/>
        <w:gridCol w:w="1276"/>
        <w:gridCol w:w="1559"/>
      </w:tblGrid>
      <w:tr w:rsidR="00FC56BE" w:rsidTr="00F430BE">
        <w:tc>
          <w:tcPr>
            <w:tcW w:w="1526" w:type="dxa"/>
          </w:tcPr>
          <w:p w:rsidR="00FC56BE" w:rsidRDefault="00FC56BE" w:rsidP="00252EDB">
            <w:pPr>
              <w:jc w:val="center"/>
              <w:rPr>
                <w:b/>
                <w:color w:val="000000"/>
                <w:lang w:val="lt-LT"/>
              </w:rPr>
            </w:pPr>
            <w:r>
              <w:rPr>
                <w:b/>
                <w:color w:val="000000"/>
                <w:lang w:val="lt-LT"/>
              </w:rPr>
              <w:t>Uždavinys</w:t>
            </w:r>
          </w:p>
        </w:tc>
        <w:tc>
          <w:tcPr>
            <w:tcW w:w="1843" w:type="dxa"/>
          </w:tcPr>
          <w:p w:rsidR="00FC56BE" w:rsidRDefault="00FC56BE" w:rsidP="00252EDB">
            <w:pPr>
              <w:jc w:val="center"/>
              <w:rPr>
                <w:b/>
                <w:color w:val="000000"/>
                <w:lang w:val="lt-LT"/>
              </w:rPr>
            </w:pPr>
            <w:r>
              <w:rPr>
                <w:b/>
                <w:color w:val="000000"/>
                <w:lang w:val="lt-LT"/>
              </w:rPr>
              <w:t>Priemonės</w:t>
            </w:r>
          </w:p>
        </w:tc>
        <w:tc>
          <w:tcPr>
            <w:tcW w:w="1701" w:type="dxa"/>
          </w:tcPr>
          <w:p w:rsidR="00FC56BE" w:rsidRDefault="00FC56BE" w:rsidP="004C0B1E">
            <w:pPr>
              <w:jc w:val="center"/>
              <w:rPr>
                <w:b/>
                <w:color w:val="000000"/>
                <w:lang w:val="lt-LT"/>
              </w:rPr>
            </w:pPr>
            <w:r>
              <w:rPr>
                <w:b/>
                <w:color w:val="000000"/>
                <w:lang w:val="lt-LT"/>
              </w:rPr>
              <w:t>Laukiami rezultatai</w:t>
            </w:r>
          </w:p>
        </w:tc>
        <w:tc>
          <w:tcPr>
            <w:tcW w:w="1842" w:type="dxa"/>
          </w:tcPr>
          <w:p w:rsidR="00FC56BE" w:rsidRDefault="00FC56BE" w:rsidP="004C0B1E">
            <w:pPr>
              <w:jc w:val="center"/>
              <w:rPr>
                <w:b/>
                <w:color w:val="000000"/>
                <w:lang w:val="lt-LT"/>
              </w:rPr>
            </w:pPr>
            <w:r>
              <w:rPr>
                <w:b/>
                <w:color w:val="000000"/>
                <w:lang w:val="lt-LT"/>
              </w:rPr>
              <w:t>Vertinimo kriterijai</w:t>
            </w:r>
          </w:p>
        </w:tc>
        <w:tc>
          <w:tcPr>
            <w:tcW w:w="1276" w:type="dxa"/>
          </w:tcPr>
          <w:p w:rsidR="00FC56BE" w:rsidRDefault="00FC56BE" w:rsidP="00EB2F86">
            <w:pPr>
              <w:jc w:val="center"/>
              <w:rPr>
                <w:b/>
                <w:color w:val="000000"/>
                <w:lang w:val="lt-LT"/>
              </w:rPr>
            </w:pPr>
            <w:r>
              <w:rPr>
                <w:b/>
                <w:color w:val="000000"/>
                <w:lang w:val="lt-LT"/>
              </w:rPr>
              <w:t>Įvykdymo laikas</w:t>
            </w:r>
          </w:p>
        </w:tc>
        <w:tc>
          <w:tcPr>
            <w:tcW w:w="1559" w:type="dxa"/>
          </w:tcPr>
          <w:p w:rsidR="00FC56BE" w:rsidRDefault="00FC56BE" w:rsidP="00EB2F86">
            <w:pPr>
              <w:jc w:val="center"/>
              <w:rPr>
                <w:b/>
                <w:color w:val="000000"/>
                <w:lang w:val="lt-LT"/>
              </w:rPr>
            </w:pPr>
            <w:r>
              <w:rPr>
                <w:b/>
                <w:color w:val="000000"/>
                <w:lang w:val="lt-LT"/>
              </w:rPr>
              <w:t>Vykdytojai</w:t>
            </w:r>
          </w:p>
        </w:tc>
      </w:tr>
      <w:tr w:rsidR="00FC56BE" w:rsidTr="00F430BE">
        <w:tc>
          <w:tcPr>
            <w:tcW w:w="1526" w:type="dxa"/>
          </w:tcPr>
          <w:p w:rsidR="00FC56BE" w:rsidRDefault="00FC56BE" w:rsidP="00AA06E0">
            <w:pPr>
              <w:rPr>
                <w:b/>
                <w:color w:val="000000"/>
                <w:lang w:val="lt-LT"/>
              </w:rPr>
            </w:pPr>
            <w:r w:rsidRPr="0092341B">
              <w:rPr>
                <w:b/>
              </w:rPr>
              <w:t xml:space="preserve">1. </w:t>
            </w:r>
            <w:r w:rsidRPr="00252EDB">
              <w:rPr>
                <w:b/>
                <w:lang w:val="lt-LT"/>
              </w:rPr>
              <w:t>Mažinti korupcijos tikimybę</w:t>
            </w:r>
          </w:p>
        </w:tc>
        <w:tc>
          <w:tcPr>
            <w:tcW w:w="1843" w:type="dxa"/>
          </w:tcPr>
          <w:p w:rsidR="00FC56BE" w:rsidRDefault="00FC56BE" w:rsidP="00695D39">
            <w:pPr>
              <w:rPr>
                <w:b/>
                <w:color w:val="000000"/>
                <w:lang w:val="lt-LT"/>
              </w:rPr>
            </w:pPr>
            <w:r w:rsidRPr="0092341B">
              <w:rPr>
                <w:lang w:val="lt-LT"/>
              </w:rPr>
              <w:t xml:space="preserve">1.1 </w:t>
            </w:r>
            <w:r>
              <w:rPr>
                <w:lang w:val="lt-LT"/>
              </w:rPr>
              <w:t>A</w:t>
            </w:r>
            <w:r w:rsidRPr="0092341B">
              <w:rPr>
                <w:lang w:val="lt-LT"/>
              </w:rPr>
              <w:t>tlikti korupcijos pasireiškimo tikimybės nustatymą</w:t>
            </w:r>
            <w:r>
              <w:rPr>
                <w:lang w:val="lt-LT"/>
              </w:rPr>
              <w:t>.</w:t>
            </w:r>
          </w:p>
        </w:tc>
        <w:tc>
          <w:tcPr>
            <w:tcW w:w="1701" w:type="dxa"/>
          </w:tcPr>
          <w:p w:rsidR="00FC56BE" w:rsidRPr="0049009A" w:rsidRDefault="00FC56BE" w:rsidP="004C0B1E">
            <w:pPr>
              <w:rPr>
                <w:b/>
                <w:color w:val="000000"/>
                <w:lang w:val="lt-LT"/>
              </w:rPr>
            </w:pPr>
            <w:r w:rsidRPr="0049009A">
              <w:rPr>
                <w:color w:val="000000"/>
                <w:lang w:val="lt-LT"/>
              </w:rPr>
              <w:t>Sumažinta korupcijos pasireiškimo tikimybė</w:t>
            </w:r>
            <w:r>
              <w:rPr>
                <w:color w:val="000000"/>
                <w:lang w:val="lt-LT"/>
              </w:rPr>
              <w:t>.</w:t>
            </w:r>
          </w:p>
        </w:tc>
        <w:tc>
          <w:tcPr>
            <w:tcW w:w="1842" w:type="dxa"/>
          </w:tcPr>
          <w:p w:rsidR="00FC56BE" w:rsidRPr="0049009A" w:rsidRDefault="00FC56BE" w:rsidP="004C0B1E">
            <w:pPr>
              <w:rPr>
                <w:b/>
                <w:color w:val="000000"/>
                <w:lang w:val="lt-LT"/>
              </w:rPr>
            </w:pPr>
            <w:r w:rsidRPr="0049009A">
              <w:rPr>
                <w:color w:val="000000"/>
                <w:lang w:val="lt-LT"/>
              </w:rPr>
              <w:t>Nustatytos veiklos sritys, kuriose yra daugiausiai rizikos korupcijai atsirasti</w:t>
            </w:r>
            <w:r>
              <w:rPr>
                <w:color w:val="000000"/>
                <w:lang w:val="lt-LT"/>
              </w:rPr>
              <w:t>.</w:t>
            </w:r>
          </w:p>
        </w:tc>
        <w:tc>
          <w:tcPr>
            <w:tcW w:w="1276" w:type="dxa"/>
          </w:tcPr>
          <w:p w:rsidR="00FC56BE" w:rsidRPr="00B349EB" w:rsidRDefault="00FC56BE" w:rsidP="00EB2F86">
            <w:pPr>
              <w:rPr>
                <w:color w:val="000000"/>
                <w:lang w:val="lt-LT"/>
              </w:rPr>
            </w:pPr>
            <w:r w:rsidRPr="00B349EB">
              <w:rPr>
                <w:color w:val="000000"/>
                <w:lang w:val="lt-LT"/>
              </w:rPr>
              <w:t>2011 m. III ketv. – 2012 m. IV ketv.</w:t>
            </w:r>
          </w:p>
        </w:tc>
        <w:tc>
          <w:tcPr>
            <w:tcW w:w="1559" w:type="dxa"/>
          </w:tcPr>
          <w:p w:rsidR="00FC56BE" w:rsidRPr="0049009A" w:rsidRDefault="00FC56BE" w:rsidP="00EB2F86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Komisijos pirmininkas</w:t>
            </w:r>
          </w:p>
        </w:tc>
      </w:tr>
      <w:tr w:rsidR="00FC56BE" w:rsidTr="00F430BE">
        <w:tc>
          <w:tcPr>
            <w:tcW w:w="1526" w:type="dxa"/>
          </w:tcPr>
          <w:p w:rsidR="00FC56BE" w:rsidRDefault="00FC56BE" w:rsidP="00AA06E0">
            <w:pPr>
              <w:rPr>
                <w:b/>
                <w:color w:val="000000"/>
                <w:lang w:val="lt-LT"/>
              </w:rPr>
            </w:pPr>
          </w:p>
        </w:tc>
        <w:tc>
          <w:tcPr>
            <w:tcW w:w="1843" w:type="dxa"/>
          </w:tcPr>
          <w:p w:rsidR="00FC56BE" w:rsidRPr="00572A0B" w:rsidRDefault="00FC56BE" w:rsidP="00695D39">
            <w:pPr>
              <w:rPr>
                <w:b/>
                <w:color w:val="000000"/>
                <w:lang w:val="lt-LT"/>
              </w:rPr>
            </w:pPr>
            <w:r w:rsidRPr="00572A0B">
              <w:rPr>
                <w:color w:val="000000"/>
                <w:lang w:val="lt-LT"/>
              </w:rPr>
              <w:t>1.</w:t>
            </w:r>
            <w:r>
              <w:rPr>
                <w:color w:val="000000"/>
                <w:lang w:val="lt-LT"/>
              </w:rPr>
              <w:t>2</w:t>
            </w:r>
            <w:r w:rsidRPr="00572A0B">
              <w:rPr>
                <w:color w:val="000000"/>
                <w:lang w:val="lt-LT"/>
              </w:rPr>
              <w:t xml:space="preserve">. </w:t>
            </w:r>
            <w:r>
              <w:rPr>
                <w:color w:val="000000"/>
                <w:lang w:val="lt-LT"/>
              </w:rPr>
              <w:t>O</w:t>
            </w:r>
            <w:r w:rsidRPr="00572A0B">
              <w:rPr>
                <w:color w:val="000000"/>
                <w:lang w:val="lt-LT"/>
              </w:rPr>
              <w:t>rganizuoti Komisijos nariams ir darbuotojams antikorupcinio požiūrio mokymus</w:t>
            </w:r>
            <w:r>
              <w:rPr>
                <w:color w:val="000000"/>
                <w:lang w:val="lt-LT"/>
              </w:rPr>
              <w:t>.</w:t>
            </w:r>
          </w:p>
        </w:tc>
        <w:tc>
          <w:tcPr>
            <w:tcW w:w="1701" w:type="dxa"/>
          </w:tcPr>
          <w:p w:rsidR="00FC56BE" w:rsidRDefault="00FC56BE" w:rsidP="004C0B1E">
            <w:pPr>
              <w:rPr>
                <w:b/>
                <w:color w:val="000000"/>
                <w:lang w:val="lt-LT"/>
              </w:rPr>
            </w:pPr>
            <w:r>
              <w:rPr>
                <w:lang w:val="lt-LT"/>
              </w:rPr>
              <w:t>Antikorupcinio pobūdžio mokymai užtikrins korupcijos mažinimą.</w:t>
            </w:r>
          </w:p>
        </w:tc>
        <w:tc>
          <w:tcPr>
            <w:tcW w:w="1842" w:type="dxa"/>
          </w:tcPr>
          <w:p w:rsidR="00FC56BE" w:rsidRPr="00A47A17" w:rsidRDefault="00FC56BE" w:rsidP="004C0B1E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Komisijos narių ir darbuotojų, dalyvavusių mokymuose, skaičius.</w:t>
            </w:r>
          </w:p>
        </w:tc>
        <w:tc>
          <w:tcPr>
            <w:tcW w:w="1276" w:type="dxa"/>
          </w:tcPr>
          <w:p w:rsidR="00FC56BE" w:rsidRPr="0049009A" w:rsidRDefault="00FC56BE" w:rsidP="00EB2F86">
            <w:pPr>
              <w:rPr>
                <w:color w:val="000000"/>
                <w:lang w:val="lt-LT"/>
              </w:rPr>
            </w:pPr>
            <w:r w:rsidRPr="0049009A">
              <w:rPr>
                <w:color w:val="000000"/>
                <w:lang w:val="lt-LT"/>
              </w:rPr>
              <w:t>2011-2012 m.</w:t>
            </w:r>
          </w:p>
        </w:tc>
        <w:tc>
          <w:tcPr>
            <w:tcW w:w="1559" w:type="dxa"/>
          </w:tcPr>
          <w:p w:rsidR="00FC56BE" w:rsidRPr="0049009A" w:rsidRDefault="00FC56BE" w:rsidP="00EB2F86">
            <w:pPr>
              <w:rPr>
                <w:color w:val="000000"/>
                <w:lang w:val="lt-LT"/>
              </w:rPr>
            </w:pPr>
            <w:r w:rsidRPr="0049009A">
              <w:rPr>
                <w:color w:val="000000"/>
                <w:lang w:val="lt-LT"/>
              </w:rPr>
              <w:t>Komisijos pirmininkas</w:t>
            </w:r>
          </w:p>
        </w:tc>
      </w:tr>
      <w:tr w:rsidR="00FC56BE" w:rsidTr="00F430BE">
        <w:tc>
          <w:tcPr>
            <w:tcW w:w="1526" w:type="dxa"/>
          </w:tcPr>
          <w:p w:rsidR="00FC56BE" w:rsidRDefault="00FC56BE" w:rsidP="00AA06E0">
            <w:pPr>
              <w:rPr>
                <w:b/>
                <w:color w:val="000000"/>
                <w:lang w:val="lt-LT"/>
              </w:rPr>
            </w:pPr>
            <w:r>
              <w:rPr>
                <w:b/>
                <w:color w:val="000000"/>
                <w:lang w:val="lt-LT"/>
              </w:rPr>
              <w:t>2. Pagal kompetenciją vykdyti korupcijos prevenciją</w:t>
            </w:r>
          </w:p>
        </w:tc>
        <w:tc>
          <w:tcPr>
            <w:tcW w:w="1843" w:type="dxa"/>
          </w:tcPr>
          <w:p w:rsidR="00FC56BE" w:rsidRPr="00572A0B" w:rsidRDefault="00FC56BE" w:rsidP="00195BB2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2.1. Komisijos internetinėje svetainėje skelbti informaciją apie priimtus skundus (prašymus) bei jų nagrinėjimo rezultatus. </w:t>
            </w:r>
          </w:p>
        </w:tc>
        <w:tc>
          <w:tcPr>
            <w:tcW w:w="1701" w:type="dxa"/>
          </w:tcPr>
          <w:p w:rsidR="00FC56BE" w:rsidRDefault="00FC56BE" w:rsidP="004C0B1E">
            <w:pPr>
              <w:rPr>
                <w:lang w:val="lt-LT"/>
              </w:rPr>
            </w:pPr>
            <w:r>
              <w:rPr>
                <w:lang w:val="lt-LT"/>
              </w:rPr>
              <w:t>Bus informuojama visuomenė apie Komisijos veiklos rezultatus.</w:t>
            </w:r>
          </w:p>
        </w:tc>
        <w:tc>
          <w:tcPr>
            <w:tcW w:w="1842" w:type="dxa"/>
          </w:tcPr>
          <w:p w:rsidR="00FC56BE" w:rsidRDefault="00FC56BE" w:rsidP="004C0B1E">
            <w:pPr>
              <w:rPr>
                <w:color w:val="000000"/>
                <w:lang w:val="lt-LT"/>
              </w:rPr>
            </w:pPr>
            <w:r w:rsidRPr="00195BB2">
              <w:rPr>
                <w:color w:val="000000"/>
                <w:lang w:val="lt-LT"/>
              </w:rPr>
              <w:t xml:space="preserve">Skelbiama informacija Komisijos interneto svetainėje </w:t>
            </w:r>
            <w:hyperlink r:id="rId5" w:history="1">
              <w:r w:rsidRPr="000E231A">
                <w:rPr>
                  <w:rStyle w:val="Hipersaitas"/>
                  <w:lang w:val="lt-LT"/>
                </w:rPr>
                <w:t>www.ginkom.lt</w:t>
              </w:r>
            </w:hyperlink>
            <w:r>
              <w:t>.</w:t>
            </w:r>
          </w:p>
          <w:p w:rsidR="00FC56BE" w:rsidRPr="00195BB2" w:rsidRDefault="00FC56BE" w:rsidP="004C0B1E">
            <w:pPr>
              <w:rPr>
                <w:color w:val="000000"/>
                <w:lang w:val="lt-LT"/>
              </w:rPr>
            </w:pPr>
          </w:p>
        </w:tc>
        <w:tc>
          <w:tcPr>
            <w:tcW w:w="1276" w:type="dxa"/>
          </w:tcPr>
          <w:p w:rsidR="00FC56BE" w:rsidRPr="0049009A" w:rsidRDefault="00FC56BE" w:rsidP="00EB2F86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2011-2012 m.</w:t>
            </w:r>
          </w:p>
        </w:tc>
        <w:tc>
          <w:tcPr>
            <w:tcW w:w="1559" w:type="dxa"/>
          </w:tcPr>
          <w:p w:rsidR="00FC56BE" w:rsidRPr="0049009A" w:rsidRDefault="00FC56BE" w:rsidP="00EB2F86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Socialinis darbuotojas</w:t>
            </w:r>
          </w:p>
        </w:tc>
      </w:tr>
      <w:tr w:rsidR="00FC56BE" w:rsidTr="00F430BE">
        <w:tc>
          <w:tcPr>
            <w:tcW w:w="1526" w:type="dxa"/>
          </w:tcPr>
          <w:p w:rsidR="00FC56BE" w:rsidRDefault="00FC56BE" w:rsidP="00AA06E0">
            <w:pPr>
              <w:rPr>
                <w:b/>
                <w:color w:val="000000"/>
                <w:lang w:val="lt-LT"/>
              </w:rPr>
            </w:pPr>
          </w:p>
        </w:tc>
        <w:tc>
          <w:tcPr>
            <w:tcW w:w="1843" w:type="dxa"/>
          </w:tcPr>
          <w:p w:rsidR="00FC56BE" w:rsidRPr="00572A0B" w:rsidRDefault="00FC56BE" w:rsidP="00695D39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2.2. </w:t>
            </w:r>
            <w:r w:rsidR="00176441">
              <w:rPr>
                <w:color w:val="000000"/>
                <w:lang w:val="lt-LT"/>
              </w:rPr>
              <w:t>Komisijos internetinėje svetainėje skelbti informaciją apie viešųjų pirkimų procesus.</w:t>
            </w:r>
          </w:p>
        </w:tc>
        <w:tc>
          <w:tcPr>
            <w:tcW w:w="1701" w:type="dxa"/>
          </w:tcPr>
          <w:p w:rsidR="00FC56BE" w:rsidRDefault="00FC56BE" w:rsidP="00176441">
            <w:pPr>
              <w:rPr>
                <w:lang w:val="lt-LT"/>
              </w:rPr>
            </w:pPr>
            <w:r>
              <w:rPr>
                <w:lang w:val="lt-LT"/>
              </w:rPr>
              <w:t xml:space="preserve">Bus užtikrintas </w:t>
            </w:r>
            <w:r w:rsidR="00176441">
              <w:rPr>
                <w:lang w:val="lt-LT"/>
              </w:rPr>
              <w:t>procedūrų viešumas ir informacijos prieinamumas.</w:t>
            </w:r>
          </w:p>
        </w:tc>
        <w:tc>
          <w:tcPr>
            <w:tcW w:w="1842" w:type="dxa"/>
          </w:tcPr>
          <w:p w:rsidR="00FC56BE" w:rsidRPr="00176441" w:rsidRDefault="00176441" w:rsidP="004C0B1E">
            <w:pPr>
              <w:rPr>
                <w:color w:val="000000"/>
                <w:lang w:val="lt-LT"/>
              </w:rPr>
            </w:pPr>
            <w:r w:rsidRPr="00195BB2">
              <w:rPr>
                <w:color w:val="000000"/>
                <w:lang w:val="lt-LT"/>
              </w:rPr>
              <w:t xml:space="preserve">Skelbiama informacija Komisijos interneto svetainėje </w:t>
            </w:r>
            <w:hyperlink r:id="rId6" w:history="1">
              <w:r w:rsidRPr="000E231A">
                <w:rPr>
                  <w:rStyle w:val="Hipersaitas"/>
                  <w:lang w:val="lt-LT"/>
                </w:rPr>
                <w:t>www.ginkom.lt</w:t>
              </w:r>
            </w:hyperlink>
            <w:r>
              <w:t>.</w:t>
            </w:r>
          </w:p>
        </w:tc>
        <w:tc>
          <w:tcPr>
            <w:tcW w:w="1276" w:type="dxa"/>
          </w:tcPr>
          <w:p w:rsidR="00FC56BE" w:rsidRPr="0049009A" w:rsidRDefault="00FC56BE" w:rsidP="00EB2F86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2011-2012 m.</w:t>
            </w:r>
          </w:p>
        </w:tc>
        <w:tc>
          <w:tcPr>
            <w:tcW w:w="1559" w:type="dxa"/>
          </w:tcPr>
          <w:p w:rsidR="00FC56BE" w:rsidRPr="0049009A" w:rsidRDefault="00FC56BE" w:rsidP="00EB2F86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Viešųjų pirkimų komisija</w:t>
            </w:r>
          </w:p>
        </w:tc>
      </w:tr>
      <w:tr w:rsidR="00FC56BE" w:rsidTr="00F430BE">
        <w:tc>
          <w:tcPr>
            <w:tcW w:w="1526" w:type="dxa"/>
          </w:tcPr>
          <w:p w:rsidR="00FC56BE" w:rsidRDefault="00176441" w:rsidP="00572A0B">
            <w:pPr>
              <w:rPr>
                <w:b/>
                <w:color w:val="000000"/>
                <w:lang w:val="lt-LT"/>
              </w:rPr>
            </w:pPr>
            <w:r>
              <w:rPr>
                <w:b/>
                <w:color w:val="000000"/>
                <w:lang w:val="lt-LT"/>
              </w:rPr>
              <w:t>3</w:t>
            </w:r>
            <w:r w:rsidR="00FC56BE">
              <w:rPr>
                <w:b/>
                <w:color w:val="000000"/>
                <w:lang w:val="lt-LT"/>
              </w:rPr>
              <w:t xml:space="preserve">. </w:t>
            </w:r>
            <w:r w:rsidR="00FC56BE" w:rsidRPr="0092341B">
              <w:rPr>
                <w:b/>
                <w:bCs/>
                <w:lang w:val="lt-LT"/>
              </w:rPr>
              <w:t>Užtikrinti efektyvų Antikorupcinės programos įgyvendinimą</w:t>
            </w:r>
          </w:p>
        </w:tc>
        <w:tc>
          <w:tcPr>
            <w:tcW w:w="1843" w:type="dxa"/>
          </w:tcPr>
          <w:p w:rsidR="00FC56BE" w:rsidRDefault="00176441" w:rsidP="00695D39">
            <w:pPr>
              <w:rPr>
                <w:b/>
                <w:color w:val="000000"/>
                <w:lang w:val="lt-LT"/>
              </w:rPr>
            </w:pPr>
            <w:r>
              <w:rPr>
                <w:lang w:val="lt-LT"/>
              </w:rPr>
              <w:t>3</w:t>
            </w:r>
            <w:r w:rsidR="00FC56BE">
              <w:rPr>
                <w:lang w:val="lt-LT"/>
              </w:rPr>
              <w:t xml:space="preserve">.1. </w:t>
            </w:r>
            <w:r w:rsidR="00FC56BE">
              <w:rPr>
                <w:szCs w:val="16"/>
                <w:lang w:val="lt-LT"/>
              </w:rPr>
              <w:t>A</w:t>
            </w:r>
            <w:r w:rsidR="00FC56BE" w:rsidRPr="0092341B">
              <w:rPr>
                <w:szCs w:val="16"/>
                <w:lang w:val="lt-LT"/>
              </w:rPr>
              <w:t xml:space="preserve">tlikti </w:t>
            </w:r>
            <w:r w:rsidR="00FC56BE">
              <w:rPr>
                <w:szCs w:val="16"/>
                <w:lang w:val="lt-LT"/>
              </w:rPr>
              <w:t>Komisijos</w:t>
            </w:r>
            <w:r w:rsidR="00FC56BE" w:rsidRPr="0092341B">
              <w:rPr>
                <w:szCs w:val="16"/>
                <w:lang w:val="lt-LT"/>
              </w:rPr>
              <w:t xml:space="preserve"> antikorupcinės programos efektyvumo ir rezultatyvumo vertinimą</w:t>
            </w:r>
            <w:r w:rsidR="00FC56BE">
              <w:rPr>
                <w:szCs w:val="16"/>
                <w:lang w:val="lt-LT"/>
              </w:rPr>
              <w:t>.</w:t>
            </w:r>
          </w:p>
        </w:tc>
        <w:tc>
          <w:tcPr>
            <w:tcW w:w="1701" w:type="dxa"/>
          </w:tcPr>
          <w:p w:rsidR="00FC56BE" w:rsidRPr="00A47A17" w:rsidRDefault="00FC56BE" w:rsidP="004C0B1E">
            <w:pPr>
              <w:rPr>
                <w:color w:val="000000"/>
                <w:lang w:val="lt-LT"/>
              </w:rPr>
            </w:pPr>
            <w:r w:rsidRPr="00A47A17">
              <w:rPr>
                <w:color w:val="000000"/>
                <w:lang w:val="lt-LT"/>
              </w:rPr>
              <w:t>Bus užtikrintas antikorupcinės programos veiksmingumas</w:t>
            </w:r>
            <w:r>
              <w:rPr>
                <w:color w:val="000000"/>
                <w:lang w:val="lt-LT"/>
              </w:rPr>
              <w:t>.</w:t>
            </w:r>
          </w:p>
        </w:tc>
        <w:tc>
          <w:tcPr>
            <w:tcW w:w="1842" w:type="dxa"/>
          </w:tcPr>
          <w:p w:rsidR="00FC56BE" w:rsidRPr="007556B4" w:rsidRDefault="00FC56BE" w:rsidP="004C0B1E">
            <w:pPr>
              <w:rPr>
                <w:color w:val="000000"/>
                <w:lang w:val="lt-LT"/>
              </w:rPr>
            </w:pPr>
            <w:r w:rsidRPr="007556B4">
              <w:rPr>
                <w:color w:val="000000"/>
                <w:lang w:val="lt-LT"/>
              </w:rPr>
              <w:t>Atliktas Komisijos antikorupcinės programos efektyvumo ir rezultatyvumo vertinimas</w:t>
            </w:r>
            <w:r>
              <w:rPr>
                <w:color w:val="000000"/>
                <w:lang w:val="lt-LT"/>
              </w:rPr>
              <w:t>.</w:t>
            </w:r>
          </w:p>
        </w:tc>
        <w:tc>
          <w:tcPr>
            <w:tcW w:w="1276" w:type="dxa"/>
          </w:tcPr>
          <w:p w:rsidR="00FC56BE" w:rsidRPr="00113732" w:rsidRDefault="00FC56BE" w:rsidP="00EB2F86">
            <w:pPr>
              <w:jc w:val="center"/>
              <w:rPr>
                <w:color w:val="000000"/>
                <w:lang w:val="lt-LT"/>
              </w:rPr>
            </w:pPr>
            <w:r w:rsidRPr="00113732">
              <w:rPr>
                <w:color w:val="000000"/>
                <w:lang w:val="lt-LT"/>
              </w:rPr>
              <w:t>2012 m. IV ketv.</w:t>
            </w:r>
          </w:p>
        </w:tc>
        <w:tc>
          <w:tcPr>
            <w:tcW w:w="1559" w:type="dxa"/>
          </w:tcPr>
          <w:p w:rsidR="00FC56BE" w:rsidRPr="00A47A17" w:rsidRDefault="00176441" w:rsidP="00EB2F86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Komisijos pirmininkas</w:t>
            </w:r>
          </w:p>
        </w:tc>
      </w:tr>
      <w:tr w:rsidR="00FC56BE" w:rsidTr="00F430BE">
        <w:tc>
          <w:tcPr>
            <w:tcW w:w="1526" w:type="dxa"/>
          </w:tcPr>
          <w:p w:rsidR="00FC56BE" w:rsidRDefault="00176441" w:rsidP="00B349EB">
            <w:pPr>
              <w:rPr>
                <w:b/>
                <w:color w:val="000000"/>
                <w:lang w:val="lt-LT"/>
              </w:rPr>
            </w:pPr>
            <w:r>
              <w:rPr>
                <w:b/>
                <w:bCs/>
                <w:lang w:val="lt-LT"/>
              </w:rPr>
              <w:t>4</w:t>
            </w:r>
            <w:r w:rsidR="00FC56BE">
              <w:rPr>
                <w:b/>
                <w:bCs/>
                <w:lang w:val="lt-LT"/>
              </w:rPr>
              <w:t xml:space="preserve">. </w:t>
            </w:r>
            <w:r w:rsidR="00FC56BE" w:rsidRPr="0092341B">
              <w:rPr>
                <w:b/>
                <w:bCs/>
                <w:lang w:val="lt-LT"/>
              </w:rPr>
              <w:t>K</w:t>
            </w:r>
            <w:r w:rsidR="00FC56BE" w:rsidRPr="0092341B">
              <w:rPr>
                <w:b/>
                <w:bCs/>
                <w:snapToGrid w:val="0"/>
                <w:lang w:val="lt-LT"/>
              </w:rPr>
              <w:t>urti antikorupcinę kultūrą</w:t>
            </w:r>
          </w:p>
        </w:tc>
        <w:tc>
          <w:tcPr>
            <w:tcW w:w="1843" w:type="dxa"/>
          </w:tcPr>
          <w:p w:rsidR="00FC56BE" w:rsidRDefault="00176441" w:rsidP="00695D39">
            <w:pPr>
              <w:rPr>
                <w:b/>
                <w:color w:val="000000"/>
                <w:lang w:val="lt-LT"/>
              </w:rPr>
            </w:pPr>
            <w:r>
              <w:rPr>
                <w:szCs w:val="16"/>
                <w:lang w:val="lt-LT"/>
              </w:rPr>
              <w:t>4</w:t>
            </w:r>
            <w:r w:rsidR="00FC56BE">
              <w:rPr>
                <w:szCs w:val="16"/>
                <w:lang w:val="lt-LT"/>
              </w:rPr>
              <w:t>.1. S</w:t>
            </w:r>
            <w:r w:rsidR="00FC56BE" w:rsidRPr="0092341B">
              <w:rPr>
                <w:szCs w:val="16"/>
                <w:lang w:val="lt-LT"/>
              </w:rPr>
              <w:t xml:space="preserve">kelbti </w:t>
            </w:r>
            <w:r w:rsidR="00FC56BE">
              <w:rPr>
                <w:szCs w:val="16"/>
                <w:lang w:val="lt-LT"/>
              </w:rPr>
              <w:t>Komisijos</w:t>
            </w:r>
            <w:r w:rsidR="00FC56BE" w:rsidRPr="0092341B">
              <w:rPr>
                <w:szCs w:val="16"/>
                <w:lang w:val="lt-LT"/>
              </w:rPr>
              <w:t xml:space="preserve"> kovos su korupcija programą ir jos </w:t>
            </w:r>
            <w:r w:rsidR="00FC56BE" w:rsidRPr="0092341B">
              <w:rPr>
                <w:szCs w:val="16"/>
                <w:lang w:val="lt-LT"/>
              </w:rPr>
              <w:lastRenderedPageBreak/>
              <w:t xml:space="preserve">įgyvendinimo ataskaitą </w:t>
            </w:r>
            <w:hyperlink r:id="rId7" w:history="1">
              <w:r w:rsidR="00FC56BE" w:rsidRPr="008244B1">
                <w:rPr>
                  <w:rStyle w:val="Hipersaitas"/>
                  <w:szCs w:val="16"/>
                  <w:lang w:val="lt-LT"/>
                </w:rPr>
                <w:t>www.ginkom.lt</w:t>
              </w:r>
            </w:hyperlink>
            <w:r w:rsidR="00FC56BE">
              <w:t>.</w:t>
            </w:r>
          </w:p>
        </w:tc>
        <w:tc>
          <w:tcPr>
            <w:tcW w:w="1701" w:type="dxa"/>
          </w:tcPr>
          <w:p w:rsidR="00FC56BE" w:rsidRPr="00B349EB" w:rsidRDefault="00FC56BE" w:rsidP="004C0B1E">
            <w:pPr>
              <w:rPr>
                <w:color w:val="000000"/>
                <w:lang w:val="lt-LT"/>
              </w:rPr>
            </w:pPr>
            <w:r w:rsidRPr="0092341B">
              <w:rPr>
                <w:lang w:val="lt-LT"/>
              </w:rPr>
              <w:lastRenderedPageBreak/>
              <w:t>Paviešinti informacij</w:t>
            </w:r>
            <w:r>
              <w:rPr>
                <w:lang w:val="lt-LT"/>
              </w:rPr>
              <w:t>ą</w:t>
            </w:r>
            <w:r w:rsidRPr="0092341B">
              <w:rPr>
                <w:lang w:val="lt-LT"/>
              </w:rPr>
              <w:t>, susijusi</w:t>
            </w:r>
            <w:r>
              <w:rPr>
                <w:lang w:val="lt-LT"/>
              </w:rPr>
              <w:t>ą</w:t>
            </w:r>
            <w:r w:rsidRPr="0092341B">
              <w:rPr>
                <w:lang w:val="lt-LT"/>
              </w:rPr>
              <w:t xml:space="preserve"> su antikorupcin</w:t>
            </w:r>
            <w:r>
              <w:rPr>
                <w:lang w:val="lt-LT"/>
              </w:rPr>
              <w:t>ėmi</w:t>
            </w:r>
            <w:r>
              <w:rPr>
                <w:lang w:val="lt-LT"/>
              </w:rPr>
              <w:lastRenderedPageBreak/>
              <w:t xml:space="preserve">s priemonėmis ir stiprinti Komisijos </w:t>
            </w:r>
            <w:r w:rsidRPr="0092341B">
              <w:rPr>
                <w:lang w:val="lt-LT"/>
              </w:rPr>
              <w:t>įvaizd</w:t>
            </w:r>
            <w:r>
              <w:rPr>
                <w:lang w:val="lt-LT"/>
              </w:rPr>
              <w:t>į.</w:t>
            </w:r>
          </w:p>
        </w:tc>
        <w:tc>
          <w:tcPr>
            <w:tcW w:w="1842" w:type="dxa"/>
          </w:tcPr>
          <w:p w:rsidR="00FC56BE" w:rsidRPr="00B349EB" w:rsidRDefault="00FC56BE" w:rsidP="00176441">
            <w:pPr>
              <w:rPr>
                <w:color w:val="000000"/>
                <w:lang w:val="lt-LT"/>
              </w:rPr>
            </w:pPr>
            <w:r w:rsidRPr="0092341B">
              <w:rPr>
                <w:color w:val="000000"/>
                <w:lang w:val="lt-LT"/>
              </w:rPr>
              <w:lastRenderedPageBreak/>
              <w:t xml:space="preserve">Bus informuota visuomenė apie </w:t>
            </w:r>
            <w:r>
              <w:rPr>
                <w:color w:val="000000"/>
                <w:lang w:val="lt-LT"/>
              </w:rPr>
              <w:t>Komisijoje</w:t>
            </w:r>
            <w:r w:rsidRPr="0092341B">
              <w:rPr>
                <w:color w:val="000000"/>
                <w:lang w:val="lt-LT"/>
              </w:rPr>
              <w:t xml:space="preserve"> vykdomą </w:t>
            </w:r>
            <w:r w:rsidR="00176441">
              <w:rPr>
                <w:color w:val="000000"/>
                <w:lang w:val="lt-LT"/>
              </w:rPr>
              <w:lastRenderedPageBreak/>
              <w:t>programą.</w:t>
            </w:r>
          </w:p>
        </w:tc>
        <w:tc>
          <w:tcPr>
            <w:tcW w:w="1276" w:type="dxa"/>
          </w:tcPr>
          <w:p w:rsidR="00FC56BE" w:rsidRPr="00B349EB" w:rsidRDefault="00FC56BE" w:rsidP="00EB2F86">
            <w:pPr>
              <w:jc w:val="center"/>
              <w:rPr>
                <w:color w:val="000000"/>
                <w:lang w:val="lt-LT"/>
              </w:rPr>
            </w:pPr>
            <w:r w:rsidRPr="00B349EB">
              <w:rPr>
                <w:color w:val="000000"/>
                <w:lang w:val="lt-LT"/>
              </w:rPr>
              <w:lastRenderedPageBreak/>
              <w:t>2011-2012 m.</w:t>
            </w:r>
          </w:p>
        </w:tc>
        <w:tc>
          <w:tcPr>
            <w:tcW w:w="1559" w:type="dxa"/>
          </w:tcPr>
          <w:p w:rsidR="00FC56BE" w:rsidRPr="00B349EB" w:rsidRDefault="00FC56BE" w:rsidP="00EB2F86">
            <w:pPr>
              <w:jc w:val="center"/>
              <w:rPr>
                <w:color w:val="000000"/>
                <w:lang w:val="lt-LT"/>
              </w:rPr>
            </w:pPr>
            <w:r w:rsidRPr="00B349EB">
              <w:rPr>
                <w:color w:val="000000"/>
                <w:lang w:val="lt-LT"/>
              </w:rPr>
              <w:t>Socialinis darbuotojas</w:t>
            </w:r>
          </w:p>
        </w:tc>
      </w:tr>
      <w:tr w:rsidR="00FC56BE" w:rsidTr="00F430BE">
        <w:tc>
          <w:tcPr>
            <w:tcW w:w="1526" w:type="dxa"/>
          </w:tcPr>
          <w:p w:rsidR="00FC56BE" w:rsidRDefault="00FC56BE" w:rsidP="00252EDB">
            <w:pPr>
              <w:jc w:val="center"/>
              <w:rPr>
                <w:b/>
                <w:color w:val="000000"/>
                <w:lang w:val="lt-LT"/>
              </w:rPr>
            </w:pPr>
          </w:p>
        </w:tc>
        <w:tc>
          <w:tcPr>
            <w:tcW w:w="1843" w:type="dxa"/>
          </w:tcPr>
          <w:p w:rsidR="00FC56BE" w:rsidRDefault="00176441" w:rsidP="00695D39">
            <w:pPr>
              <w:rPr>
                <w:b/>
                <w:color w:val="000000"/>
                <w:lang w:val="lt-LT"/>
              </w:rPr>
            </w:pPr>
            <w:r>
              <w:rPr>
                <w:szCs w:val="16"/>
              </w:rPr>
              <w:t>4</w:t>
            </w:r>
            <w:r w:rsidR="00FC56BE" w:rsidRPr="0092341B">
              <w:rPr>
                <w:szCs w:val="16"/>
              </w:rPr>
              <w:t xml:space="preserve">.2. </w:t>
            </w:r>
            <w:r w:rsidR="00FC56BE">
              <w:rPr>
                <w:szCs w:val="16"/>
                <w:lang w:val="lt-LT"/>
              </w:rPr>
              <w:t>S</w:t>
            </w:r>
            <w:r w:rsidR="00FC56BE" w:rsidRPr="00B349EB">
              <w:rPr>
                <w:szCs w:val="16"/>
                <w:lang w:val="lt-LT"/>
              </w:rPr>
              <w:t xml:space="preserve">udaryti galimybę fiziniams ir juridiniams asmenims anonimiškai informuoti apie </w:t>
            </w:r>
            <w:r w:rsidR="00FC56BE">
              <w:rPr>
                <w:szCs w:val="16"/>
                <w:lang w:val="lt-LT"/>
              </w:rPr>
              <w:t>Komisijos narių</w:t>
            </w:r>
            <w:r w:rsidR="00FC56BE" w:rsidRPr="00B349EB">
              <w:rPr>
                <w:szCs w:val="16"/>
                <w:lang w:val="lt-LT"/>
              </w:rPr>
              <w:t xml:space="preserve"> ir darbuotojų galimus korupcinio pobūdžio pažeidimus</w:t>
            </w:r>
            <w:r w:rsidR="00FC56BE">
              <w:rPr>
                <w:szCs w:val="16"/>
                <w:lang w:val="lt-LT"/>
              </w:rPr>
              <w:t>.</w:t>
            </w:r>
          </w:p>
        </w:tc>
        <w:tc>
          <w:tcPr>
            <w:tcW w:w="1701" w:type="dxa"/>
          </w:tcPr>
          <w:p w:rsidR="00FC56BE" w:rsidRDefault="00FC56BE" w:rsidP="004C0B1E">
            <w:pPr>
              <w:rPr>
                <w:b/>
                <w:color w:val="000000"/>
                <w:lang w:val="lt-LT"/>
              </w:rPr>
            </w:pPr>
            <w:r>
              <w:rPr>
                <w:lang w:val="lt-LT"/>
              </w:rPr>
              <w:t>P</w:t>
            </w:r>
            <w:r w:rsidRPr="0092341B">
              <w:rPr>
                <w:lang w:val="lt-LT"/>
              </w:rPr>
              <w:t>ranešimų dėl korupcijos atvejų</w:t>
            </w:r>
            <w:r w:rsidRPr="0092341B">
              <w:rPr>
                <w:szCs w:val="16"/>
                <w:lang w:val="lt-LT"/>
              </w:rPr>
              <w:t xml:space="preserve"> ir korupcinio pobūdžio nusikalstamos darbuotojų veikos</w:t>
            </w:r>
            <w:r w:rsidRPr="0092341B">
              <w:rPr>
                <w:lang w:val="lt-LT"/>
              </w:rPr>
              <w:t xml:space="preserve"> priėmimas, užtikrinta korupcijos prevencija ir </w:t>
            </w:r>
            <w:r>
              <w:rPr>
                <w:lang w:val="lt-LT"/>
              </w:rPr>
              <w:t>Komisijos narių</w:t>
            </w:r>
            <w:r w:rsidRPr="0092341B">
              <w:rPr>
                <w:lang w:val="lt-LT"/>
              </w:rPr>
              <w:t xml:space="preserve"> bei darbuotojų atsakomybė</w:t>
            </w:r>
            <w:r>
              <w:rPr>
                <w:lang w:val="lt-LT"/>
              </w:rPr>
              <w:t>.</w:t>
            </w:r>
          </w:p>
        </w:tc>
        <w:tc>
          <w:tcPr>
            <w:tcW w:w="1842" w:type="dxa"/>
          </w:tcPr>
          <w:p w:rsidR="00FC56BE" w:rsidRDefault="00FC56BE" w:rsidP="004C0B1E">
            <w:pPr>
              <w:rPr>
                <w:b/>
                <w:color w:val="000000"/>
                <w:lang w:val="lt-LT"/>
              </w:rPr>
            </w:pPr>
            <w:r w:rsidRPr="0092341B">
              <w:rPr>
                <w:lang w:val="lt-LT"/>
              </w:rPr>
              <w:t>Gautų pranešimų</w:t>
            </w:r>
            <w:r w:rsidRPr="0092341B">
              <w:rPr>
                <w:szCs w:val="16"/>
                <w:lang w:val="lt-LT"/>
              </w:rPr>
              <w:t xml:space="preserve"> dėl korupcijos atvejų ir korupcinio pobūdžio nusikalstamos darbuotojų veikos skaičius</w:t>
            </w:r>
            <w:r>
              <w:rPr>
                <w:szCs w:val="16"/>
                <w:lang w:val="lt-LT"/>
              </w:rPr>
              <w:t>.</w:t>
            </w:r>
          </w:p>
        </w:tc>
        <w:tc>
          <w:tcPr>
            <w:tcW w:w="1276" w:type="dxa"/>
          </w:tcPr>
          <w:p w:rsidR="00FC56BE" w:rsidRPr="00B349EB" w:rsidRDefault="00FC56BE" w:rsidP="00EB2F86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2011-2012 m.</w:t>
            </w:r>
          </w:p>
        </w:tc>
        <w:tc>
          <w:tcPr>
            <w:tcW w:w="1559" w:type="dxa"/>
          </w:tcPr>
          <w:p w:rsidR="00FC56BE" w:rsidRPr="00E31041" w:rsidRDefault="00FC56BE" w:rsidP="00EB2F86">
            <w:pPr>
              <w:rPr>
                <w:color w:val="000000"/>
                <w:lang w:val="lt-LT"/>
              </w:rPr>
            </w:pPr>
            <w:r w:rsidRPr="00E31041">
              <w:rPr>
                <w:color w:val="000000"/>
                <w:lang w:val="lt-LT"/>
              </w:rPr>
              <w:t>Socialinis darbuotojas, Komisijos pirmininkas</w:t>
            </w:r>
          </w:p>
        </w:tc>
      </w:tr>
      <w:tr w:rsidR="00FC56BE" w:rsidTr="00F430BE">
        <w:tc>
          <w:tcPr>
            <w:tcW w:w="1526" w:type="dxa"/>
          </w:tcPr>
          <w:p w:rsidR="00FC56BE" w:rsidRDefault="00176441" w:rsidP="00176441">
            <w:pPr>
              <w:rPr>
                <w:b/>
                <w:color w:val="000000"/>
                <w:lang w:val="lt-LT"/>
              </w:rPr>
            </w:pPr>
            <w:r>
              <w:rPr>
                <w:b/>
                <w:lang w:val="lt-LT"/>
              </w:rPr>
              <w:t>5</w:t>
            </w:r>
            <w:r w:rsidR="00FC56BE">
              <w:rPr>
                <w:b/>
                <w:lang w:val="lt-LT"/>
              </w:rPr>
              <w:t xml:space="preserve">. </w:t>
            </w:r>
            <w:r w:rsidR="00FC56BE" w:rsidRPr="0092341B">
              <w:rPr>
                <w:b/>
                <w:lang w:val="lt-LT"/>
              </w:rPr>
              <w:t>D</w:t>
            </w:r>
            <w:r w:rsidR="00FC56BE" w:rsidRPr="0092341B">
              <w:rPr>
                <w:b/>
                <w:snapToGrid w:val="0"/>
                <w:lang w:val="lt-LT"/>
              </w:rPr>
              <w:t xml:space="preserve">idinti </w:t>
            </w:r>
            <w:r>
              <w:rPr>
                <w:b/>
                <w:snapToGrid w:val="0"/>
                <w:lang w:val="lt-LT"/>
              </w:rPr>
              <w:t xml:space="preserve">Komisijos narių ir darbuotojų </w:t>
            </w:r>
            <w:r w:rsidR="00FC56BE" w:rsidRPr="0092341B">
              <w:rPr>
                <w:b/>
                <w:snapToGrid w:val="0"/>
                <w:lang w:val="lt-LT"/>
              </w:rPr>
              <w:t>atsakomybę ir atskaitomybę</w:t>
            </w:r>
          </w:p>
        </w:tc>
        <w:tc>
          <w:tcPr>
            <w:tcW w:w="1843" w:type="dxa"/>
          </w:tcPr>
          <w:p w:rsidR="00FC56BE" w:rsidRDefault="00176441" w:rsidP="009E238D">
            <w:pPr>
              <w:rPr>
                <w:szCs w:val="16"/>
              </w:rPr>
            </w:pPr>
            <w:r>
              <w:rPr>
                <w:szCs w:val="16"/>
              </w:rPr>
              <w:t>5</w:t>
            </w:r>
            <w:r w:rsidR="00FC56BE">
              <w:rPr>
                <w:szCs w:val="16"/>
              </w:rPr>
              <w:t xml:space="preserve">.1. </w:t>
            </w:r>
            <w:r w:rsidR="00FC56BE">
              <w:rPr>
                <w:szCs w:val="16"/>
                <w:lang w:val="lt-LT"/>
              </w:rPr>
              <w:t>I</w:t>
            </w:r>
            <w:r w:rsidR="00FC56BE" w:rsidRPr="00B349EB">
              <w:rPr>
                <w:szCs w:val="16"/>
                <w:lang w:val="lt-LT"/>
              </w:rPr>
              <w:t xml:space="preserve">šsamiai ir objektyviai išanalizuoti pranešimus ir pagrįstus įtarimus dėl korupcinio pobūdžio nusikalstamos </w:t>
            </w:r>
            <w:r w:rsidR="00FC56BE">
              <w:rPr>
                <w:szCs w:val="16"/>
                <w:lang w:val="lt-LT"/>
              </w:rPr>
              <w:t>Komisijos narių</w:t>
            </w:r>
            <w:r w:rsidR="00FC56BE" w:rsidRPr="00B349EB">
              <w:rPr>
                <w:szCs w:val="16"/>
                <w:lang w:val="lt-LT"/>
              </w:rPr>
              <w:t xml:space="preserve"> ir darbuotojų veikos bei pateikti pasiūlymus dėl </w:t>
            </w:r>
            <w:r w:rsidR="00FC56BE">
              <w:rPr>
                <w:szCs w:val="16"/>
                <w:lang w:val="lt-LT"/>
              </w:rPr>
              <w:t xml:space="preserve">Komisijos </w:t>
            </w:r>
            <w:r w:rsidR="00FC56BE" w:rsidRPr="00B349EB">
              <w:rPr>
                <w:szCs w:val="16"/>
                <w:lang w:val="lt-LT"/>
              </w:rPr>
              <w:t>veiklos tobulinimo, kad būtų pašalintos prielaidos korupcijai atsirasti ir plisti</w:t>
            </w:r>
            <w:r w:rsidR="00FC56BE">
              <w:rPr>
                <w:szCs w:val="16"/>
                <w:lang w:val="lt-LT"/>
              </w:rPr>
              <w:t>.</w:t>
            </w:r>
          </w:p>
        </w:tc>
        <w:tc>
          <w:tcPr>
            <w:tcW w:w="1701" w:type="dxa"/>
          </w:tcPr>
          <w:p w:rsidR="00FC56BE" w:rsidRPr="0092341B" w:rsidRDefault="00FC56BE" w:rsidP="004C0B1E">
            <w:pPr>
              <w:ind w:right="-108"/>
              <w:rPr>
                <w:lang w:val="lt-LT"/>
              </w:rPr>
            </w:pPr>
            <w:r w:rsidRPr="0092341B">
              <w:rPr>
                <w:lang w:val="lt-LT"/>
              </w:rPr>
              <w:t>Objektyvus pranešimų ir pagrįstų įtarimų</w:t>
            </w:r>
            <w:r w:rsidRPr="0092341B">
              <w:rPr>
                <w:szCs w:val="16"/>
                <w:lang w:val="lt-LT"/>
              </w:rPr>
              <w:t xml:space="preserve"> dėl korupcinio pobūdžio nusikalstamos </w:t>
            </w:r>
            <w:r>
              <w:rPr>
                <w:szCs w:val="16"/>
                <w:lang w:val="lt-LT"/>
              </w:rPr>
              <w:t>Komisijos</w:t>
            </w:r>
            <w:r w:rsidRPr="0092341B">
              <w:rPr>
                <w:szCs w:val="16"/>
                <w:lang w:val="lt-LT"/>
              </w:rPr>
              <w:t xml:space="preserve"> </w:t>
            </w:r>
            <w:r>
              <w:rPr>
                <w:szCs w:val="16"/>
                <w:lang w:val="lt-LT"/>
              </w:rPr>
              <w:t>narių</w:t>
            </w:r>
            <w:r w:rsidRPr="0092341B">
              <w:rPr>
                <w:szCs w:val="16"/>
                <w:lang w:val="lt-LT"/>
              </w:rPr>
              <w:t xml:space="preserve"> ir darbuotojų veikos ištyrimas, prielaidų atsirasti ir plisti korupcijai pašalinimas</w:t>
            </w:r>
            <w:r>
              <w:rPr>
                <w:szCs w:val="16"/>
                <w:lang w:val="lt-LT"/>
              </w:rPr>
              <w:t>.</w:t>
            </w:r>
          </w:p>
        </w:tc>
        <w:tc>
          <w:tcPr>
            <w:tcW w:w="1842" w:type="dxa"/>
          </w:tcPr>
          <w:p w:rsidR="00FC56BE" w:rsidRPr="0092341B" w:rsidRDefault="00FC56BE" w:rsidP="004C0B1E">
            <w:pPr>
              <w:ind w:right="-108"/>
              <w:rPr>
                <w:szCs w:val="16"/>
                <w:lang w:val="lt-LT"/>
              </w:rPr>
            </w:pPr>
            <w:r w:rsidRPr="0092341B">
              <w:rPr>
                <w:szCs w:val="16"/>
                <w:lang w:val="lt-LT"/>
              </w:rPr>
              <w:t xml:space="preserve">Išanalizuotų pranešimų dėl korupcinio pobūdžio nusikalstamos </w:t>
            </w:r>
            <w:r>
              <w:rPr>
                <w:szCs w:val="16"/>
                <w:lang w:val="lt-LT"/>
              </w:rPr>
              <w:t>Komisijos narių</w:t>
            </w:r>
            <w:r w:rsidRPr="0092341B">
              <w:rPr>
                <w:szCs w:val="16"/>
                <w:lang w:val="lt-LT"/>
              </w:rPr>
              <w:t xml:space="preserve"> ir darbuotojų </w:t>
            </w:r>
          </w:p>
          <w:p w:rsidR="00FC56BE" w:rsidRPr="0092341B" w:rsidRDefault="00FC56BE" w:rsidP="004C0B1E">
            <w:pPr>
              <w:ind w:right="-108"/>
              <w:rPr>
                <w:lang w:val="lt-LT"/>
              </w:rPr>
            </w:pPr>
            <w:r w:rsidRPr="0092341B">
              <w:rPr>
                <w:szCs w:val="16"/>
                <w:lang w:val="lt-LT"/>
              </w:rPr>
              <w:t>veikos skaičius</w:t>
            </w:r>
            <w:r>
              <w:rPr>
                <w:szCs w:val="16"/>
                <w:lang w:val="lt-LT"/>
              </w:rPr>
              <w:t>.</w:t>
            </w:r>
          </w:p>
        </w:tc>
        <w:tc>
          <w:tcPr>
            <w:tcW w:w="1276" w:type="dxa"/>
          </w:tcPr>
          <w:p w:rsidR="00FC56BE" w:rsidRPr="0092341B" w:rsidRDefault="00FC56BE" w:rsidP="00EB2F86">
            <w:pPr>
              <w:ind w:right="-108"/>
              <w:rPr>
                <w:lang w:val="lt-LT"/>
              </w:rPr>
            </w:pPr>
            <w:r w:rsidRPr="0092341B">
              <w:rPr>
                <w:lang w:val="lt-LT"/>
              </w:rPr>
              <w:t>2011-</w:t>
            </w:r>
            <w:r>
              <w:rPr>
                <w:lang w:val="lt-LT"/>
              </w:rPr>
              <w:t>2012 m.</w:t>
            </w:r>
          </w:p>
        </w:tc>
        <w:tc>
          <w:tcPr>
            <w:tcW w:w="1559" w:type="dxa"/>
          </w:tcPr>
          <w:p w:rsidR="00FC56BE" w:rsidRPr="0092341B" w:rsidRDefault="00FC56BE" w:rsidP="00EB2F86">
            <w:pPr>
              <w:ind w:right="-108"/>
              <w:rPr>
                <w:lang w:val="lt-LT"/>
              </w:rPr>
            </w:pPr>
            <w:r>
              <w:rPr>
                <w:lang w:val="lt-LT"/>
              </w:rPr>
              <w:t>Komisijos pirmininkas</w:t>
            </w:r>
          </w:p>
        </w:tc>
      </w:tr>
      <w:tr w:rsidR="00FC56BE" w:rsidTr="00F430BE">
        <w:tc>
          <w:tcPr>
            <w:tcW w:w="1526" w:type="dxa"/>
          </w:tcPr>
          <w:p w:rsidR="00FC56BE" w:rsidRDefault="00FC56BE" w:rsidP="00B349EB">
            <w:pPr>
              <w:rPr>
                <w:b/>
                <w:lang w:val="lt-LT"/>
              </w:rPr>
            </w:pPr>
          </w:p>
        </w:tc>
        <w:tc>
          <w:tcPr>
            <w:tcW w:w="1843" w:type="dxa"/>
          </w:tcPr>
          <w:p w:rsidR="00FC56BE" w:rsidRPr="0092341B" w:rsidRDefault="00176441" w:rsidP="009E238D">
            <w:pPr>
              <w:pStyle w:val="prastasistinklapis"/>
              <w:rPr>
                <w:szCs w:val="16"/>
              </w:rPr>
            </w:pPr>
            <w:r>
              <w:rPr>
                <w:szCs w:val="16"/>
              </w:rPr>
              <w:t>5</w:t>
            </w:r>
            <w:r w:rsidR="00FC56BE">
              <w:rPr>
                <w:szCs w:val="16"/>
              </w:rPr>
              <w:t>.2</w:t>
            </w:r>
            <w:r w:rsidR="00FC56BE" w:rsidRPr="0092341B">
              <w:rPr>
                <w:szCs w:val="16"/>
              </w:rPr>
              <w:t xml:space="preserve">. </w:t>
            </w:r>
            <w:r w:rsidR="00FC56BE">
              <w:rPr>
                <w:szCs w:val="16"/>
              </w:rPr>
              <w:t>S</w:t>
            </w:r>
            <w:r w:rsidR="00FC56BE" w:rsidRPr="0092341B">
              <w:rPr>
                <w:szCs w:val="16"/>
              </w:rPr>
              <w:t xml:space="preserve">iekti </w:t>
            </w:r>
            <w:r w:rsidR="00FC56BE">
              <w:rPr>
                <w:szCs w:val="16"/>
              </w:rPr>
              <w:t>Komisijoje</w:t>
            </w:r>
            <w:r w:rsidR="00FC56BE" w:rsidRPr="0092341B">
              <w:rPr>
                <w:szCs w:val="16"/>
              </w:rPr>
              <w:t xml:space="preserve"> dirbančių asmenų viešųjų ir privačių interesų suderinamumo, užtikrinti priimamų sprendimų </w:t>
            </w:r>
            <w:r w:rsidR="00FC56BE">
              <w:rPr>
                <w:szCs w:val="16"/>
              </w:rPr>
              <w:t>objektyvumą ir nešališkumą.</w:t>
            </w:r>
          </w:p>
        </w:tc>
        <w:tc>
          <w:tcPr>
            <w:tcW w:w="1701" w:type="dxa"/>
          </w:tcPr>
          <w:p w:rsidR="00FC56BE" w:rsidRPr="0092341B" w:rsidRDefault="00FC56BE" w:rsidP="004C0B1E">
            <w:pPr>
              <w:ind w:right="-108"/>
              <w:rPr>
                <w:lang w:val="lt-LT"/>
              </w:rPr>
            </w:pPr>
            <w:r w:rsidRPr="0092341B">
              <w:rPr>
                <w:lang w:val="lt-LT"/>
              </w:rPr>
              <w:t xml:space="preserve">Išvengta viešųjų ir privačių interesų konflikto </w:t>
            </w:r>
            <w:r>
              <w:rPr>
                <w:lang w:val="lt-LT"/>
              </w:rPr>
              <w:t>Komisijos</w:t>
            </w:r>
            <w:r w:rsidRPr="0092341B">
              <w:rPr>
                <w:lang w:val="lt-LT"/>
              </w:rPr>
              <w:t xml:space="preserve"> veikloje, priimti sprendimai </w:t>
            </w:r>
            <w:r>
              <w:rPr>
                <w:lang w:val="lt-LT"/>
              </w:rPr>
              <w:t xml:space="preserve">objektyvūs ir </w:t>
            </w:r>
            <w:r w:rsidRPr="0092341B">
              <w:rPr>
                <w:lang w:val="lt-LT"/>
              </w:rPr>
              <w:t>nešališki</w:t>
            </w:r>
            <w:r>
              <w:rPr>
                <w:lang w:val="lt-LT"/>
              </w:rPr>
              <w:t>.</w:t>
            </w:r>
          </w:p>
        </w:tc>
        <w:tc>
          <w:tcPr>
            <w:tcW w:w="1842" w:type="dxa"/>
          </w:tcPr>
          <w:p w:rsidR="00FC56BE" w:rsidRPr="0092341B" w:rsidRDefault="00176441" w:rsidP="00F430BE">
            <w:pPr>
              <w:ind w:right="-108"/>
              <w:rPr>
                <w:szCs w:val="16"/>
                <w:lang w:val="lt-LT"/>
              </w:rPr>
            </w:pPr>
            <w:r>
              <w:rPr>
                <w:szCs w:val="16"/>
                <w:lang w:val="lt-LT"/>
              </w:rPr>
              <w:t xml:space="preserve">Išanalizuotų </w:t>
            </w:r>
            <w:r w:rsidR="00106645">
              <w:rPr>
                <w:szCs w:val="16"/>
                <w:lang w:val="lt-LT"/>
              </w:rPr>
              <w:t>viešųjų ir privačių interesų</w:t>
            </w:r>
            <w:r w:rsidR="00F430BE">
              <w:rPr>
                <w:szCs w:val="16"/>
                <w:lang w:val="lt-LT"/>
              </w:rPr>
              <w:t xml:space="preserve"> konfliktų Komisijos veikloje skaičius. Komisijos narių ir darbuotojų nusišalinimo nuo interesų konfliktą sukeliančių sprendimų rengimo, svarstymo ar priėmimo stadijų skaičius.</w:t>
            </w:r>
          </w:p>
        </w:tc>
        <w:tc>
          <w:tcPr>
            <w:tcW w:w="1276" w:type="dxa"/>
          </w:tcPr>
          <w:p w:rsidR="00FC56BE" w:rsidRPr="0092341B" w:rsidRDefault="00FC56BE" w:rsidP="00EB2F86">
            <w:pPr>
              <w:ind w:right="-108"/>
              <w:rPr>
                <w:lang w:val="lt-LT"/>
              </w:rPr>
            </w:pPr>
            <w:r w:rsidRPr="0092341B">
              <w:rPr>
                <w:lang w:val="lt-LT"/>
              </w:rPr>
              <w:t>2011-</w:t>
            </w:r>
            <w:r>
              <w:rPr>
                <w:lang w:val="lt-LT"/>
              </w:rPr>
              <w:t>2012 m.</w:t>
            </w:r>
          </w:p>
        </w:tc>
        <w:tc>
          <w:tcPr>
            <w:tcW w:w="1559" w:type="dxa"/>
          </w:tcPr>
          <w:p w:rsidR="00FC56BE" w:rsidRPr="0092341B" w:rsidRDefault="00FC56BE" w:rsidP="00EB2F86">
            <w:pPr>
              <w:ind w:right="-108"/>
              <w:rPr>
                <w:lang w:val="lt-LT"/>
              </w:rPr>
            </w:pPr>
            <w:r>
              <w:rPr>
                <w:lang w:val="lt-LT"/>
              </w:rPr>
              <w:t>Komisijos pirmininkas</w:t>
            </w:r>
          </w:p>
        </w:tc>
      </w:tr>
    </w:tbl>
    <w:p w:rsidR="00252EDB" w:rsidRDefault="00252EDB" w:rsidP="00252EDB">
      <w:pPr>
        <w:jc w:val="center"/>
        <w:rPr>
          <w:b/>
          <w:color w:val="000000"/>
          <w:lang w:val="lt-LT"/>
        </w:rPr>
      </w:pPr>
    </w:p>
    <w:sectPr w:rsidR="00252EDB" w:rsidSect="00F430BE">
      <w:pgSz w:w="12240" w:h="15840"/>
      <w:pgMar w:top="141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characterSpacingControl w:val="doNotCompress"/>
  <w:compat/>
  <w:rsids>
    <w:rsidRoot w:val="00252EDB"/>
    <w:rsid w:val="000051DA"/>
    <w:rsid w:val="00064CA0"/>
    <w:rsid w:val="00106645"/>
    <w:rsid w:val="00113732"/>
    <w:rsid w:val="00141FAF"/>
    <w:rsid w:val="00176441"/>
    <w:rsid w:val="00195BB2"/>
    <w:rsid w:val="00252EDB"/>
    <w:rsid w:val="002D3795"/>
    <w:rsid w:val="00354B41"/>
    <w:rsid w:val="0049009A"/>
    <w:rsid w:val="004E0E49"/>
    <w:rsid w:val="005263B2"/>
    <w:rsid w:val="00572A0B"/>
    <w:rsid w:val="00613CB9"/>
    <w:rsid w:val="00695D39"/>
    <w:rsid w:val="007556B4"/>
    <w:rsid w:val="007B3556"/>
    <w:rsid w:val="009E238D"/>
    <w:rsid w:val="00A47A17"/>
    <w:rsid w:val="00AA06E0"/>
    <w:rsid w:val="00AE5CB5"/>
    <w:rsid w:val="00B15254"/>
    <w:rsid w:val="00B349EB"/>
    <w:rsid w:val="00DB6402"/>
    <w:rsid w:val="00E31041"/>
    <w:rsid w:val="00E61EC5"/>
    <w:rsid w:val="00EE4C8D"/>
    <w:rsid w:val="00F430BE"/>
    <w:rsid w:val="00FC5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52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252EDB"/>
    <w:pPr>
      <w:jc w:val="both"/>
    </w:pPr>
    <w:rPr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252EDB"/>
    <w:rPr>
      <w:rFonts w:ascii="Times New Roman" w:eastAsia="Times New Roman" w:hAnsi="Times New Roman" w:cs="Times New Roman"/>
      <w:sz w:val="24"/>
      <w:szCs w:val="24"/>
      <w:lang w:val="lt-LT"/>
    </w:rPr>
  </w:style>
  <w:style w:type="character" w:styleId="Grietas">
    <w:name w:val="Strong"/>
    <w:basedOn w:val="Numatytasispastraiposriftas"/>
    <w:qFormat/>
    <w:rsid w:val="00252EDB"/>
    <w:rPr>
      <w:b/>
      <w:bCs/>
    </w:rPr>
  </w:style>
  <w:style w:type="paragraph" w:styleId="Pagrindiniotekstotrauka2">
    <w:name w:val="Body Text Indent 2"/>
    <w:basedOn w:val="prastasis"/>
    <w:link w:val="Pagrindiniotekstotrauka2Diagrama"/>
    <w:rsid w:val="00252ED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252EDB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252EDB"/>
    <w:rPr>
      <w:color w:val="0000FF"/>
      <w:u w:val="single"/>
    </w:rPr>
  </w:style>
  <w:style w:type="paragraph" w:styleId="prastasistinklapis">
    <w:name w:val="Normal (Web)"/>
    <w:basedOn w:val="prastasis"/>
    <w:uiPriority w:val="99"/>
    <w:unhideWhenUsed/>
    <w:rsid w:val="00252EDB"/>
    <w:pPr>
      <w:spacing w:before="100" w:beforeAutospacing="1" w:after="100" w:afterAutospacing="1"/>
    </w:pPr>
    <w:rPr>
      <w:lang w:val="lt-LT" w:eastAsia="lt-LT"/>
    </w:rPr>
  </w:style>
  <w:style w:type="table" w:styleId="Lentelstinklelis">
    <w:name w:val="Table Grid"/>
    <w:basedOn w:val="prastojilentel"/>
    <w:uiPriority w:val="59"/>
    <w:rsid w:val="00252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Numatytasispastraiposriftas"/>
    <w:rsid w:val="00F430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inkom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inkom.lt" TargetMode="External"/><Relationship Id="rId5" Type="http://schemas.openxmlformats.org/officeDocument/2006/relationships/hyperlink" Target="http://www.ginkom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CC58A-C1D4-41E5-B0FB-C05F472C5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2450</Words>
  <Characters>1398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GINKOM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KAdomaviciute</dc:creator>
  <cp:lastModifiedBy>Asta Lančinskienė</cp:lastModifiedBy>
  <cp:revision>2</cp:revision>
  <cp:lastPrinted>2012-03-21T07:31:00Z</cp:lastPrinted>
  <dcterms:created xsi:type="dcterms:W3CDTF">2012-03-21T07:57:00Z</dcterms:created>
  <dcterms:modified xsi:type="dcterms:W3CDTF">2012-03-21T07:57:00Z</dcterms:modified>
</cp:coreProperties>
</file>