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31CFC" w14:textId="77777777" w:rsidR="004A19CE" w:rsidRPr="00393DD9" w:rsidRDefault="00393DD9" w:rsidP="00393DD9">
      <w:pPr>
        <w:jc w:val="both"/>
        <w:rPr>
          <w:rFonts w:ascii="Times New Roman" w:hAnsi="Times New Roman" w:cs="Times New Roman"/>
          <w:sz w:val="24"/>
          <w:szCs w:val="24"/>
          <w:lang w:val="lt-LT"/>
        </w:rPr>
      </w:pPr>
      <w:r w:rsidRPr="00393DD9">
        <w:rPr>
          <w:rFonts w:ascii="Times New Roman" w:hAnsi="Times New Roman" w:cs="Times New Roman"/>
          <w:sz w:val="24"/>
          <w:szCs w:val="24"/>
          <w:lang w:val="lt-LT"/>
        </w:rPr>
        <w:t>KORUPCIJOS RIZIKOS ANALIZĖ</w:t>
      </w:r>
    </w:p>
    <w:p w14:paraId="157BC8B7" w14:textId="77777777" w:rsidR="00393DD9" w:rsidRPr="00393DD9" w:rsidRDefault="00393DD9" w:rsidP="00393DD9">
      <w:pPr>
        <w:pStyle w:val="NormalWeb"/>
        <w:shd w:val="clear" w:color="auto" w:fill="FFFFFF"/>
        <w:spacing w:before="225" w:beforeAutospacing="0" w:after="225" w:afterAutospacing="0"/>
        <w:jc w:val="both"/>
        <w:rPr>
          <w:spacing w:val="2"/>
          <w:lang w:val="lt-LT"/>
        </w:rPr>
      </w:pPr>
      <w:r w:rsidRPr="00393DD9">
        <w:rPr>
          <w:spacing w:val="2"/>
          <w:lang w:val="lt-LT"/>
        </w:rPr>
        <w:t>Korupcijos prevencijos įstatymo 6 straipsnyje numatyta, kad valstybės ar savivaldybės įstaigos veiklos srityse, kuriose egzistuoja didelė korupcijos pasireiškimo tikimybė, gali būti atliekama korupcijos rizikos analizė.</w:t>
      </w:r>
    </w:p>
    <w:p w14:paraId="48CFCDCD" w14:textId="77777777" w:rsidR="00393DD9" w:rsidRPr="00393DD9" w:rsidRDefault="00393DD9" w:rsidP="00393DD9">
      <w:pPr>
        <w:pStyle w:val="NormalWeb"/>
        <w:shd w:val="clear" w:color="auto" w:fill="FFFFFF"/>
        <w:spacing w:before="225" w:beforeAutospacing="0" w:after="225" w:afterAutospacing="0"/>
        <w:jc w:val="both"/>
        <w:rPr>
          <w:spacing w:val="2"/>
          <w:lang w:val="lt-LT"/>
        </w:rPr>
      </w:pPr>
      <w:r w:rsidRPr="00393DD9">
        <w:rPr>
          <w:spacing w:val="2"/>
          <w:lang w:val="lt-LT"/>
        </w:rPr>
        <w:t>Korupcijos rizikos analizę Vyriausybės nustatyta tvarka atlieka Specialiųjų tyrimų tarnyba, kuri nustatydama korupcijos rizikos analizės atlikimo būtinumą valstybės ar savivaldybės įstaigos veiklos srityse, įvertina, ar valstybės ar savivaldybės įstaigos veikla atitinka vieną arba kelis iš šių kriterijų:</w:t>
      </w:r>
    </w:p>
    <w:p w14:paraId="67170996" w14:textId="77777777" w:rsidR="00393DD9" w:rsidRPr="00393DD9" w:rsidRDefault="00393DD9" w:rsidP="00393DD9">
      <w:pPr>
        <w:pStyle w:val="NormalWeb"/>
        <w:shd w:val="clear" w:color="auto" w:fill="FFFFFF"/>
        <w:spacing w:before="225" w:beforeAutospacing="0" w:after="225" w:afterAutospacing="0"/>
        <w:jc w:val="both"/>
        <w:rPr>
          <w:spacing w:val="2"/>
          <w:lang w:val="lt-LT"/>
        </w:rPr>
      </w:pPr>
      <w:r w:rsidRPr="00393DD9">
        <w:rPr>
          <w:spacing w:val="2"/>
          <w:lang w:val="lt-LT"/>
        </w:rPr>
        <w:t>1) yra buvę bandymų, pažeidžiant teisės aktų nustatytą tvarką, paveikti valstybės ar savivaldybės įstaigos darbuotojus ar jų priimamus sprendimus;</w:t>
      </w:r>
    </w:p>
    <w:p w14:paraId="79D7B0B5" w14:textId="77777777" w:rsidR="00393DD9" w:rsidRPr="00393DD9" w:rsidRDefault="00393DD9" w:rsidP="00393DD9">
      <w:pPr>
        <w:pStyle w:val="NormalWeb"/>
        <w:shd w:val="clear" w:color="auto" w:fill="FFFFFF"/>
        <w:spacing w:before="225" w:beforeAutospacing="0" w:after="225" w:afterAutospacing="0"/>
        <w:jc w:val="both"/>
        <w:rPr>
          <w:spacing w:val="2"/>
          <w:lang w:val="lt-LT"/>
        </w:rPr>
      </w:pPr>
      <w:r w:rsidRPr="00393DD9">
        <w:rPr>
          <w:spacing w:val="2"/>
          <w:lang w:val="lt-LT"/>
        </w:rPr>
        <w:t>2) išaiškinta korupcinio pobūdžio nusikalstamų veikų kitose panašias funkcijas atliekančiose valstybės ar savivaldybių įstaigose;</w:t>
      </w:r>
    </w:p>
    <w:p w14:paraId="62A2FB33" w14:textId="77777777" w:rsidR="00393DD9" w:rsidRPr="00393DD9" w:rsidRDefault="00393DD9" w:rsidP="00393DD9">
      <w:pPr>
        <w:pStyle w:val="NormalWeb"/>
        <w:shd w:val="clear" w:color="auto" w:fill="FFFFFF"/>
        <w:spacing w:before="225" w:beforeAutospacing="0" w:after="225" w:afterAutospacing="0"/>
        <w:jc w:val="both"/>
        <w:rPr>
          <w:spacing w:val="2"/>
          <w:lang w:val="lt-LT"/>
        </w:rPr>
      </w:pPr>
      <w:r w:rsidRPr="00393DD9">
        <w:rPr>
          <w:spacing w:val="2"/>
          <w:lang w:val="lt-LT"/>
        </w:rPr>
        <w:t>3) tobulintina valstybės ar savivaldybės įstaigos veiklos priežiūros sistema;</w:t>
      </w:r>
    </w:p>
    <w:p w14:paraId="218BBFA7" w14:textId="77777777" w:rsidR="00393DD9" w:rsidRPr="00393DD9" w:rsidRDefault="00393DD9" w:rsidP="00393DD9">
      <w:pPr>
        <w:pStyle w:val="NormalWeb"/>
        <w:shd w:val="clear" w:color="auto" w:fill="FFFFFF"/>
        <w:spacing w:before="225" w:beforeAutospacing="0" w:after="225" w:afterAutospacing="0"/>
        <w:jc w:val="both"/>
        <w:rPr>
          <w:spacing w:val="2"/>
          <w:lang w:val="lt-LT"/>
        </w:rPr>
      </w:pPr>
      <w:r w:rsidRPr="00393DD9">
        <w:rPr>
          <w:spacing w:val="2"/>
          <w:lang w:val="lt-LT"/>
        </w:rPr>
        <w:t>4) priimami sprendimai yra susiję su materialine ar kitokia interesanto nauda;</w:t>
      </w:r>
    </w:p>
    <w:p w14:paraId="09442145" w14:textId="77777777" w:rsidR="00393DD9" w:rsidRPr="00393DD9" w:rsidRDefault="00393DD9" w:rsidP="00393DD9">
      <w:pPr>
        <w:pStyle w:val="NormalWeb"/>
        <w:shd w:val="clear" w:color="auto" w:fill="FFFFFF"/>
        <w:spacing w:before="225" w:beforeAutospacing="0" w:after="225" w:afterAutospacing="0"/>
        <w:jc w:val="both"/>
        <w:rPr>
          <w:spacing w:val="2"/>
          <w:lang w:val="lt-LT"/>
        </w:rPr>
      </w:pPr>
      <w:r w:rsidRPr="00393DD9">
        <w:rPr>
          <w:spacing w:val="2"/>
          <w:lang w:val="lt-LT"/>
        </w:rPr>
        <w:t>5) nustatyti galiojančios tvarkos normų pažeidimai (pavyzdžiui, skirstant biudžeto lėšas, teikiant užsakymus bei priimant kitus sprendimus);</w:t>
      </w:r>
    </w:p>
    <w:p w14:paraId="15BCFF01" w14:textId="77777777" w:rsidR="00393DD9" w:rsidRPr="00393DD9" w:rsidRDefault="00393DD9" w:rsidP="00393DD9">
      <w:pPr>
        <w:pStyle w:val="NormalWeb"/>
        <w:shd w:val="clear" w:color="auto" w:fill="FFFFFF"/>
        <w:spacing w:before="225" w:beforeAutospacing="0" w:after="225" w:afterAutospacing="0"/>
        <w:jc w:val="both"/>
        <w:rPr>
          <w:spacing w:val="2"/>
          <w:lang w:val="lt-LT"/>
        </w:rPr>
      </w:pPr>
      <w:r w:rsidRPr="00393DD9">
        <w:rPr>
          <w:spacing w:val="2"/>
          <w:lang w:val="lt-LT"/>
        </w:rPr>
        <w:t>6) valstybės ar savivaldybės įstaiga yra savarankiškas biudžetinių asignavimų valdytojas;</w:t>
      </w:r>
    </w:p>
    <w:p w14:paraId="0E8F7FEA" w14:textId="77777777" w:rsidR="00393DD9" w:rsidRPr="00393DD9" w:rsidRDefault="00393DD9" w:rsidP="00393DD9">
      <w:pPr>
        <w:pStyle w:val="NormalWeb"/>
        <w:shd w:val="clear" w:color="auto" w:fill="FFFFFF"/>
        <w:spacing w:before="225" w:beforeAutospacing="0" w:after="225" w:afterAutospacing="0"/>
        <w:jc w:val="both"/>
        <w:rPr>
          <w:spacing w:val="2"/>
          <w:lang w:val="lt-LT"/>
        </w:rPr>
      </w:pPr>
      <w:r w:rsidRPr="00393DD9">
        <w:rPr>
          <w:spacing w:val="2"/>
          <w:lang w:val="lt-LT"/>
        </w:rPr>
        <w:t>7) Valstybės kontrolė, Seimo kontrolieriai arba kitos kontrolės ar priežiūros institucijos nustatė šios valstybės ar savivaldybės įstaigos veiklos pažeidimų;</w:t>
      </w:r>
    </w:p>
    <w:p w14:paraId="322AF07A" w14:textId="77777777" w:rsidR="00393DD9" w:rsidRPr="00393DD9" w:rsidRDefault="00393DD9" w:rsidP="00393DD9">
      <w:pPr>
        <w:pStyle w:val="NormalWeb"/>
        <w:shd w:val="clear" w:color="auto" w:fill="FFFFFF"/>
        <w:spacing w:before="225" w:beforeAutospacing="0" w:after="225" w:afterAutospacing="0"/>
        <w:jc w:val="both"/>
        <w:rPr>
          <w:spacing w:val="2"/>
          <w:lang w:val="lt-LT"/>
        </w:rPr>
      </w:pPr>
      <w:r w:rsidRPr="00393DD9">
        <w:rPr>
          <w:spacing w:val="2"/>
          <w:lang w:val="lt-LT"/>
        </w:rPr>
        <w:t>8) gauta kitos informacijos apie valstybės ar savivaldybės įstaigos veikloje egzistuojančias korupcijos apraiškas (kriminalinės žvalgybos ir žvalgybos informacija, gyventojų skundai ir pareiškimai, visuomenės informavimo priemonių pateikiama bei kita informacija).</w:t>
      </w:r>
    </w:p>
    <w:p w14:paraId="34584233" w14:textId="77777777" w:rsidR="00393DD9" w:rsidRPr="00393DD9" w:rsidRDefault="00393DD9" w:rsidP="00393DD9">
      <w:pPr>
        <w:jc w:val="both"/>
        <w:rPr>
          <w:rFonts w:ascii="Times New Roman" w:hAnsi="Times New Roman" w:cs="Times New Roman"/>
          <w:sz w:val="24"/>
          <w:szCs w:val="24"/>
          <w:lang w:val="lt-LT"/>
        </w:rPr>
      </w:pPr>
    </w:p>
    <w:p w14:paraId="38F07C1D" w14:textId="77777777" w:rsidR="00393DD9" w:rsidRPr="00393DD9" w:rsidRDefault="00B472EC" w:rsidP="00393DD9">
      <w:pPr>
        <w:jc w:val="both"/>
        <w:rPr>
          <w:rFonts w:ascii="Times New Roman" w:hAnsi="Times New Roman" w:cs="Times New Roman"/>
          <w:sz w:val="24"/>
          <w:szCs w:val="24"/>
          <w:lang w:val="lt-LT"/>
        </w:rPr>
      </w:pPr>
      <w:hyperlink r:id="rId4" w:tgtFrame="_blank" w:history="1">
        <w:r w:rsidR="00393DD9" w:rsidRPr="00393DD9">
          <w:rPr>
            <w:rStyle w:val="Strong"/>
            <w:rFonts w:ascii="Times New Roman" w:hAnsi="Times New Roman" w:cs="Times New Roman"/>
            <w:b w:val="0"/>
            <w:i/>
            <w:spacing w:val="3"/>
            <w:sz w:val="24"/>
            <w:szCs w:val="24"/>
            <w:shd w:val="clear" w:color="auto" w:fill="FFFFFF"/>
            <w:lang w:val="lt-LT"/>
          </w:rPr>
          <w:t>Detali informacija apie Specialiųjų tyrimų tarnybos atliekamą korupcijos rizikos analizę</w:t>
        </w:r>
      </w:hyperlink>
      <w:r w:rsidR="00393DD9" w:rsidRPr="00393DD9">
        <w:rPr>
          <w:rFonts w:ascii="Times New Roman" w:hAnsi="Times New Roman" w:cs="Times New Roman"/>
          <w:b/>
          <w:i/>
          <w:sz w:val="24"/>
          <w:szCs w:val="24"/>
          <w:lang w:val="lt-LT"/>
        </w:rPr>
        <w:t xml:space="preserve">: </w:t>
      </w:r>
      <w:hyperlink r:id="rId5" w:history="1">
        <w:r w:rsidR="00393DD9" w:rsidRPr="00393DD9">
          <w:rPr>
            <w:rStyle w:val="Hyperlink"/>
            <w:rFonts w:ascii="Times New Roman" w:hAnsi="Times New Roman" w:cs="Times New Roman"/>
            <w:color w:val="4F81BD" w:themeColor="accent1"/>
            <w:sz w:val="24"/>
            <w:szCs w:val="24"/>
            <w:lang w:val="lt-LT"/>
          </w:rPr>
          <w:t>https://www.stt.lt/korupcijos-prevencija/korupcijos-rizikos-analizes/7470</w:t>
        </w:r>
      </w:hyperlink>
    </w:p>
    <w:p w14:paraId="7CD6395A" w14:textId="77777777" w:rsidR="00393DD9" w:rsidRPr="00393DD9" w:rsidRDefault="00393DD9" w:rsidP="00393DD9">
      <w:pPr>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____________________________________</w:t>
      </w:r>
    </w:p>
    <w:sectPr w:rsidR="00393DD9" w:rsidRPr="00393DD9" w:rsidSect="00A54177">
      <w:pgSz w:w="11907" w:h="16839" w:code="9"/>
      <w:pgMar w:top="1134" w:right="567"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D9"/>
    <w:rsid w:val="00094BCC"/>
    <w:rsid w:val="00187AED"/>
    <w:rsid w:val="00393DD9"/>
    <w:rsid w:val="004A19CE"/>
    <w:rsid w:val="00A54177"/>
    <w:rsid w:val="00B472EC"/>
    <w:rsid w:val="00D8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AFA7"/>
  <w15:docId w15:val="{2A391EE4-2D37-4ABA-BC19-220DB573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D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3DD9"/>
    <w:rPr>
      <w:color w:val="0000FF" w:themeColor="hyperlink"/>
      <w:u w:val="single"/>
    </w:rPr>
  </w:style>
  <w:style w:type="character" w:styleId="Strong">
    <w:name w:val="Strong"/>
    <w:basedOn w:val="DefaultParagraphFont"/>
    <w:uiPriority w:val="22"/>
    <w:qFormat/>
    <w:rsid w:val="00393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7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t.lt/korupcijos-prevencija/korupcijos-rizikos-analizes/7470" TargetMode="External"/><Relationship Id="rId4" Type="http://schemas.openxmlformats.org/officeDocument/2006/relationships/hyperlink" Target="https://www.stt.lt/korupcijos-prevencija/korupcijos-rizikos-analizes/747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Deividas Kerulis</dc:creator>
  <cp:lastModifiedBy>Egle Valeckiene</cp:lastModifiedBy>
  <cp:revision>2</cp:revision>
  <dcterms:created xsi:type="dcterms:W3CDTF">2022-01-10T15:19:00Z</dcterms:created>
  <dcterms:modified xsi:type="dcterms:W3CDTF">2022-01-10T15:19:00Z</dcterms:modified>
</cp:coreProperties>
</file>